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A3" w:rsidRDefault="00DA7CA3" w:rsidP="00E241E3">
      <w:pPr>
        <w:spacing w:line="276" w:lineRule="auto"/>
        <w:jc w:val="center"/>
        <w:rPr>
          <w:b/>
        </w:rPr>
      </w:pPr>
    </w:p>
    <w:p w:rsidR="00B17F63" w:rsidRPr="00DA7CA3" w:rsidRDefault="00DA7CA3" w:rsidP="00E241E3">
      <w:pPr>
        <w:spacing w:line="276" w:lineRule="auto"/>
        <w:jc w:val="center"/>
        <w:rPr>
          <w:b/>
        </w:rPr>
      </w:pPr>
      <w:r w:rsidRPr="00DA7CA3">
        <w:rPr>
          <w:b/>
        </w:rPr>
        <w:t>EDITAL DE CREDENCIAMENTO DE INSTITUIÇÕES FINANCEIRAS</w:t>
      </w:r>
    </w:p>
    <w:p w:rsidR="00DA7CA3" w:rsidRDefault="00DA7CA3" w:rsidP="00E241E3">
      <w:pPr>
        <w:spacing w:line="276" w:lineRule="auto"/>
        <w:jc w:val="center"/>
        <w:rPr>
          <w:b/>
        </w:rPr>
      </w:pPr>
    </w:p>
    <w:p w:rsidR="00DA7CA3" w:rsidRPr="00DA7CA3" w:rsidRDefault="00DA7CA3" w:rsidP="00E241E3">
      <w:pPr>
        <w:spacing w:line="276" w:lineRule="auto"/>
        <w:jc w:val="center"/>
        <w:rPr>
          <w:b/>
        </w:rPr>
      </w:pPr>
      <w:r w:rsidRPr="00DA7CA3">
        <w:rPr>
          <w:b/>
        </w:rPr>
        <w:t>CREDENCIAMENTO Nº 01/2017</w:t>
      </w:r>
      <w:bookmarkStart w:id="0" w:name="_GoBack"/>
      <w:bookmarkEnd w:id="0"/>
    </w:p>
    <w:p w:rsidR="00E241E3" w:rsidRDefault="00E241E3" w:rsidP="00E241E3">
      <w:pPr>
        <w:spacing w:line="276" w:lineRule="auto"/>
      </w:pPr>
    </w:p>
    <w:p w:rsidR="00DA7CA3" w:rsidRDefault="00DA7CA3" w:rsidP="00E241E3">
      <w:pPr>
        <w:spacing w:line="276" w:lineRule="auto"/>
        <w:jc w:val="both"/>
      </w:pPr>
      <w:r>
        <w:t xml:space="preserve">O INSTITUTO DE PREVIDENCIA SOCIAL DOS SERVIDORES MUNICIPAIS DE HUMAITA-HUMAITAPREV, inscrito no CNPJ sob o nº 19.777.847/0001-05, com sede nesta cidade, cita à </w:t>
      </w:r>
      <w:r w:rsidR="00CB1BEC">
        <w:t>Avenida</w:t>
      </w:r>
      <w:r>
        <w:t xml:space="preserve"> </w:t>
      </w:r>
      <w:r w:rsidR="00CB1BEC">
        <w:t>05</w:t>
      </w:r>
      <w:r>
        <w:t xml:space="preserve"> de </w:t>
      </w:r>
      <w:r w:rsidR="00CB1BEC">
        <w:t>Setembro</w:t>
      </w:r>
      <w:r>
        <w:t xml:space="preserve">, nº </w:t>
      </w:r>
      <w:r w:rsidR="00CB1BEC">
        <w:t>348</w:t>
      </w:r>
      <w:r>
        <w:t xml:space="preserve"> – CENTRO, neste ato representado por seu Superintendente Sr. R</w:t>
      </w:r>
      <w:r w:rsidR="006E0767">
        <w:t>A</w:t>
      </w:r>
      <w:r>
        <w:t>IMUNDO ALVES DE AGUIAR, portador da Cédula de Identidade RG nº 0936536-2 SSP/AM e do CPF nº 421.771.702-49, residente e domiciliado à Rua “F”, casa 13, Conjunto Residencial Rio Madeira, Bairro São Cristóvão</w:t>
      </w:r>
      <w:r w:rsidR="001A247E">
        <w:t xml:space="preserve">, torna público que estará credenciando a partir de </w:t>
      </w:r>
      <w:r w:rsidR="006E0767" w:rsidRPr="00E44F72">
        <w:rPr>
          <w:b/>
        </w:rPr>
        <w:t>2</w:t>
      </w:r>
      <w:r w:rsidR="00E44F72" w:rsidRPr="00E44F72">
        <w:rPr>
          <w:b/>
        </w:rPr>
        <w:t>5</w:t>
      </w:r>
      <w:r w:rsidR="001A247E" w:rsidRPr="00E44F72">
        <w:rPr>
          <w:b/>
        </w:rPr>
        <w:t>/07/2017</w:t>
      </w:r>
      <w:r w:rsidR="001A247E" w:rsidRPr="00E44F72">
        <w:t xml:space="preserve"> </w:t>
      </w:r>
      <w:r w:rsidR="001A247E">
        <w:t>instituições financeiras autorizadas a funcionar no País pelo Banco Central do Brasil</w:t>
      </w:r>
      <w:r w:rsidR="002779B1">
        <w:t xml:space="preserve"> e/ou pela Comissão de Valores M</w:t>
      </w:r>
      <w:r w:rsidR="001A247E">
        <w:t xml:space="preserve">obiliários para o exercício profissional de administração de valores mobiliários, nos termos </w:t>
      </w:r>
      <w:r w:rsidR="00033248">
        <w:t>do art. 23 da Lei Federal nº 6.385 de 07 de dezembro de 1976, para integrar o cadastro de gestores dos recursos do HUMAITAPREV, em conformidade com o inciso II do art. 25, c/c inciso IV do art. 13, ambos constantes na Lei 8.666/93; do art. 22, inciso I, alínea “a” da Resolução CVM nº 3.922/2010 e na forma estabelecida neste Edital.</w:t>
      </w:r>
    </w:p>
    <w:p w:rsidR="009F4FCA" w:rsidRDefault="009F4FCA" w:rsidP="00E241E3">
      <w:pPr>
        <w:spacing w:line="276" w:lineRule="auto"/>
        <w:jc w:val="both"/>
      </w:pPr>
    </w:p>
    <w:p w:rsidR="009F4FCA" w:rsidRPr="009F4FCA" w:rsidRDefault="009F4FCA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9F4FCA">
        <w:rPr>
          <w:b/>
        </w:rPr>
        <w:t>DO OBJETO E DO OBJETIVO DO CREDENCIAMENTO</w:t>
      </w:r>
    </w:p>
    <w:p w:rsidR="009F4FCA" w:rsidRDefault="009F4FCA" w:rsidP="00E241E3">
      <w:pPr>
        <w:tabs>
          <w:tab w:val="left" w:pos="284"/>
        </w:tabs>
        <w:spacing w:line="276" w:lineRule="auto"/>
        <w:jc w:val="both"/>
      </w:pPr>
    </w:p>
    <w:p w:rsidR="009F4FCA" w:rsidRDefault="009F4FCA" w:rsidP="00E241E3">
      <w:pPr>
        <w:tabs>
          <w:tab w:val="left" w:pos="284"/>
        </w:tabs>
        <w:spacing w:line="276" w:lineRule="auto"/>
        <w:jc w:val="both"/>
      </w:pPr>
      <w:r>
        <w:t>Credenciar Instituições Financeiras que estejam autorizadas, nos termos da Legislação em vigor, a atuar no Sistema Financeiro Nacional, com fiel observância das Normas que regulamentam as aplicações de recursos dos Regimes Próprios de Previdência Social – RPPS no Mercado Financeiro Nacional, em especial as estabelecidas pelo Conselho Monetário Nacional – CMN e Ministério da Previdência Social – MPS e, no que couber, as leis Federais e Estaduais de Licitações e Contratos;</w:t>
      </w:r>
    </w:p>
    <w:p w:rsidR="009F4FCA" w:rsidRDefault="009F4FCA" w:rsidP="00E241E3">
      <w:pPr>
        <w:tabs>
          <w:tab w:val="left" w:pos="284"/>
        </w:tabs>
        <w:spacing w:line="276" w:lineRule="auto"/>
        <w:jc w:val="both"/>
      </w:pPr>
    </w:p>
    <w:p w:rsidR="009F4FCA" w:rsidRPr="009F4FCA" w:rsidRDefault="009F4FCA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9F4FCA">
        <w:rPr>
          <w:b/>
        </w:rPr>
        <w:t>CONDIÇÕES PARA PARTICIPAÇÃO DO CREDENCIAMNETO</w:t>
      </w:r>
    </w:p>
    <w:p w:rsidR="009F4FCA" w:rsidRDefault="009F4FCA" w:rsidP="00E241E3">
      <w:pPr>
        <w:tabs>
          <w:tab w:val="left" w:pos="284"/>
        </w:tabs>
        <w:spacing w:line="276" w:lineRule="auto"/>
        <w:jc w:val="both"/>
      </w:pPr>
    </w:p>
    <w:p w:rsidR="009F4FCA" w:rsidRDefault="009F4FCA" w:rsidP="00E241E3">
      <w:pPr>
        <w:tabs>
          <w:tab w:val="left" w:pos="284"/>
        </w:tabs>
        <w:spacing w:line="276" w:lineRule="auto"/>
        <w:jc w:val="both"/>
      </w:pPr>
      <w:r>
        <w:t>2.1</w:t>
      </w:r>
      <w:r w:rsidR="00920B7A">
        <w:t>) poderão ser credenciadas, para prestar serviços de gestão e administração de fundos de investimentos do RPPS, as instituições financeiras devidamente autorizadas a funcionar no País pelo Banco Central do Brasil e/ou pela Comissão de Vales Mobiliários, cuja finalidade e ramo de atuação estejam em consonância com o objeto deste Credenciamento.</w:t>
      </w:r>
    </w:p>
    <w:p w:rsidR="00920B7A" w:rsidRDefault="00920B7A" w:rsidP="00E241E3">
      <w:pPr>
        <w:tabs>
          <w:tab w:val="left" w:pos="284"/>
        </w:tabs>
        <w:spacing w:line="276" w:lineRule="auto"/>
        <w:jc w:val="both"/>
      </w:pPr>
      <w:r>
        <w:t>2.2) a participação neste Credenciamento implica na aceitação integral, irretratável e irrestrita das condições estabelecidas neste Edital, não sendo aceitável qualquer alegação de desconhecimento deste e, caso não esteja apta com as condições deste Edital, considerar-se-á a ocorrência de má-fé da participante e a possibilidade de aplicação das sanções administrativas, civis e penais cabíveis.</w:t>
      </w:r>
    </w:p>
    <w:p w:rsidR="009F4FCA" w:rsidRDefault="009F4FCA" w:rsidP="00E241E3">
      <w:pPr>
        <w:tabs>
          <w:tab w:val="left" w:pos="284"/>
        </w:tabs>
        <w:spacing w:line="276" w:lineRule="auto"/>
        <w:jc w:val="both"/>
      </w:pPr>
    </w:p>
    <w:p w:rsidR="009F4FCA" w:rsidRPr="00920B7A" w:rsidRDefault="00920B7A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920B7A">
        <w:rPr>
          <w:b/>
        </w:rPr>
        <w:t>ETAPAS DO PROCESSO DE CREDENCIAMENTO</w:t>
      </w:r>
    </w:p>
    <w:p w:rsidR="00920B7A" w:rsidRDefault="00920B7A" w:rsidP="00E241E3">
      <w:pPr>
        <w:tabs>
          <w:tab w:val="left" w:pos="284"/>
        </w:tabs>
        <w:spacing w:line="276" w:lineRule="auto"/>
        <w:jc w:val="both"/>
      </w:pPr>
    </w:p>
    <w:p w:rsidR="00920B7A" w:rsidRDefault="00920B7A" w:rsidP="00E241E3">
      <w:pPr>
        <w:tabs>
          <w:tab w:val="left" w:pos="284"/>
        </w:tabs>
        <w:spacing w:line="276" w:lineRule="auto"/>
        <w:jc w:val="both"/>
        <w:rPr>
          <w:b/>
        </w:rPr>
      </w:pPr>
      <w:r w:rsidRPr="00920B7A">
        <w:rPr>
          <w:b/>
        </w:rPr>
        <w:lastRenderedPageBreak/>
        <w:t>3.1) CONHECIMENTO DESTE EDITAL</w:t>
      </w:r>
    </w:p>
    <w:p w:rsidR="00E04D39" w:rsidRDefault="00E04D39" w:rsidP="00E241E3">
      <w:pPr>
        <w:tabs>
          <w:tab w:val="left" w:pos="284"/>
        </w:tabs>
        <w:spacing w:line="276" w:lineRule="auto"/>
        <w:jc w:val="both"/>
        <w:rPr>
          <w:b/>
        </w:rPr>
      </w:pPr>
    </w:p>
    <w:p w:rsidR="00920B7A" w:rsidRDefault="00920B7A" w:rsidP="00E241E3">
      <w:pPr>
        <w:tabs>
          <w:tab w:val="left" w:pos="284"/>
        </w:tabs>
        <w:spacing w:line="276" w:lineRule="auto"/>
        <w:jc w:val="both"/>
      </w:pPr>
      <w:r>
        <w:t>I – Os interessados poderão ter acesso ao Edital por meio do site</w:t>
      </w:r>
      <w:r w:rsidR="00842F2A">
        <w:t xml:space="preserve">, </w:t>
      </w:r>
      <w:r w:rsidR="00702E39" w:rsidRPr="00702E39">
        <w:rPr>
          <w:color w:val="0070C0"/>
        </w:rPr>
        <w:t>www.diariomunicipal.com.br/</w:t>
      </w:r>
      <w:proofErr w:type="spellStart"/>
      <w:r w:rsidR="00702E39" w:rsidRPr="00702E39">
        <w:rPr>
          <w:color w:val="0070C0"/>
        </w:rPr>
        <w:t>aam</w:t>
      </w:r>
      <w:proofErr w:type="spellEnd"/>
      <w:r w:rsidR="00702E39" w:rsidRPr="00702E39">
        <w:rPr>
          <w:color w:val="0070C0"/>
        </w:rPr>
        <w:t>/</w:t>
      </w:r>
      <w:r w:rsidR="00842F2A" w:rsidRPr="00702E39">
        <w:rPr>
          <w:color w:val="0070C0"/>
        </w:rPr>
        <w:t>.</w:t>
      </w:r>
    </w:p>
    <w:p w:rsidR="00842F2A" w:rsidRDefault="00842F2A" w:rsidP="00E241E3">
      <w:pPr>
        <w:tabs>
          <w:tab w:val="left" w:pos="284"/>
        </w:tabs>
        <w:spacing w:line="276" w:lineRule="auto"/>
        <w:jc w:val="both"/>
      </w:pPr>
      <w:r>
        <w:t>II – Toda e qualquer alteração que importe em modificação do Edital será dada sua publicação através de informações no site mencionado acima.</w:t>
      </w:r>
    </w:p>
    <w:p w:rsidR="00842F2A" w:rsidRDefault="00842F2A" w:rsidP="00E241E3">
      <w:pPr>
        <w:tabs>
          <w:tab w:val="left" w:pos="284"/>
        </w:tabs>
        <w:spacing w:line="276" w:lineRule="auto"/>
        <w:jc w:val="both"/>
      </w:pPr>
      <w:r>
        <w:t xml:space="preserve">III – Para fins de participação no Processo de Credenciamento, as Instituições Financeiras deverão preencher o Formulário de Credenciamento em conformidade com o ANEXO IV deste Edital, a partir de </w:t>
      </w:r>
      <w:r w:rsidR="002779B1" w:rsidRPr="00E44F72">
        <w:rPr>
          <w:b/>
        </w:rPr>
        <w:t>2</w:t>
      </w:r>
      <w:r w:rsidR="00E44F72" w:rsidRPr="00E44F72">
        <w:rPr>
          <w:b/>
        </w:rPr>
        <w:t>5</w:t>
      </w:r>
      <w:r w:rsidRPr="00E44F72">
        <w:rPr>
          <w:b/>
        </w:rPr>
        <w:t>/07/2017</w:t>
      </w:r>
      <w:r w:rsidRPr="00E44F72">
        <w:t xml:space="preserve"> </w:t>
      </w:r>
      <w:r>
        <w:t>acompanhado das seguintes comprovações e documentos solicitados no mesmo.</w:t>
      </w:r>
    </w:p>
    <w:p w:rsidR="00842F2A" w:rsidRDefault="00842F2A" w:rsidP="00E241E3">
      <w:pPr>
        <w:tabs>
          <w:tab w:val="left" w:pos="284"/>
        </w:tabs>
        <w:spacing w:line="276" w:lineRule="auto"/>
        <w:jc w:val="both"/>
      </w:pPr>
    </w:p>
    <w:p w:rsidR="00842F2A" w:rsidRDefault="00842F2A" w:rsidP="00E241E3">
      <w:pPr>
        <w:tabs>
          <w:tab w:val="left" w:pos="284"/>
        </w:tabs>
        <w:spacing w:line="276" w:lineRule="auto"/>
        <w:jc w:val="both"/>
        <w:rPr>
          <w:b/>
        </w:rPr>
      </w:pPr>
      <w:r w:rsidRPr="00E04D39">
        <w:rPr>
          <w:b/>
        </w:rPr>
        <w:t>3.2) HABILITAÇÃO (DOCUMENTAÇÃO NECESSÁRIA)</w:t>
      </w:r>
    </w:p>
    <w:p w:rsidR="00E04D39" w:rsidRPr="00E04D39" w:rsidRDefault="00E04D39" w:rsidP="00E241E3">
      <w:pPr>
        <w:tabs>
          <w:tab w:val="left" w:pos="284"/>
        </w:tabs>
        <w:spacing w:line="276" w:lineRule="auto"/>
        <w:jc w:val="both"/>
        <w:rPr>
          <w:b/>
        </w:rPr>
      </w:pPr>
    </w:p>
    <w:p w:rsidR="00842F2A" w:rsidRPr="009C21F9" w:rsidRDefault="00842F2A" w:rsidP="00E241E3">
      <w:pPr>
        <w:tabs>
          <w:tab w:val="left" w:pos="284"/>
        </w:tabs>
        <w:spacing w:line="276" w:lineRule="auto"/>
        <w:jc w:val="both"/>
      </w:pPr>
      <w:r>
        <w:t xml:space="preserve">I – </w:t>
      </w:r>
      <w:r w:rsidRPr="009C21F9">
        <w:t xml:space="preserve">Atos de registro ou autorização para funcionamento expedido pelo Banco Central do Brasil ou Comissão de Valores </w:t>
      </w:r>
      <w:r w:rsidR="00E04D39" w:rsidRPr="009C21F9">
        <w:t>Mobiliários</w:t>
      </w:r>
      <w:r w:rsidRPr="009C21F9">
        <w:t xml:space="preserve"> ou órgão competente;</w:t>
      </w:r>
    </w:p>
    <w:p w:rsidR="00842F2A" w:rsidRPr="009C21F9" w:rsidRDefault="00E04D39" w:rsidP="00E241E3">
      <w:pPr>
        <w:tabs>
          <w:tab w:val="left" w:pos="284"/>
        </w:tabs>
        <w:spacing w:line="276" w:lineRule="auto"/>
        <w:jc w:val="both"/>
      </w:pPr>
      <w:r w:rsidRPr="009C21F9">
        <w:t>II – Fornecer declaração (anexo I) na qual expressem que não efetuarão quaisquer retenções tributárias, das a Imunidade Tributária dos Fundos Públicos de Previdência, geridos pelo RPPS;</w:t>
      </w:r>
    </w:p>
    <w:p w:rsidR="00E04D39" w:rsidRPr="009C21F9" w:rsidRDefault="00E04D39" w:rsidP="00E241E3">
      <w:pPr>
        <w:tabs>
          <w:tab w:val="left" w:pos="284"/>
        </w:tabs>
        <w:spacing w:line="276" w:lineRule="auto"/>
        <w:jc w:val="both"/>
      </w:pPr>
      <w:r w:rsidRPr="009C21F9">
        <w:t>III – Apresentar declaração de inexistência de penalidade imputada pela Comissão de Valores Mobiliários (CVM), em razão de infração grave considerada pela Autarquia ao Administrador, nos 05 (cinco) anos anteriores ao credenciamento;</w:t>
      </w:r>
    </w:p>
    <w:p w:rsidR="00E04D39" w:rsidRPr="009C21F9" w:rsidRDefault="00E04D39" w:rsidP="00E241E3">
      <w:pPr>
        <w:tabs>
          <w:tab w:val="left" w:pos="284"/>
        </w:tabs>
        <w:spacing w:line="276" w:lineRule="auto"/>
        <w:jc w:val="both"/>
      </w:pPr>
      <w:r w:rsidRPr="009C21F9">
        <w:t>IV – Rating de gestão atribuída por agencia especializada;</w:t>
      </w:r>
    </w:p>
    <w:p w:rsidR="00E04D39" w:rsidRPr="009C21F9" w:rsidRDefault="00E04D39" w:rsidP="00E241E3">
      <w:pPr>
        <w:tabs>
          <w:tab w:val="left" w:pos="284"/>
        </w:tabs>
        <w:spacing w:line="276" w:lineRule="auto"/>
        <w:jc w:val="both"/>
      </w:pPr>
      <w:r w:rsidRPr="009C21F9">
        <w:t>V – Ser filiada a ANBIMA – Associação Brasileira das Entidades dos Mercados Financeiros e de Capitais ou ser aderente ao Código ANBIMA de Regulação e Melhores Práticas de Fundos de Investimentos ou ao Código ABVCAP/ANBIMA de Regulação e Melhores Práticas para o Mercado de FIP e FIEE.</w:t>
      </w:r>
    </w:p>
    <w:p w:rsidR="00E04D39" w:rsidRPr="002A27D6" w:rsidRDefault="00E04D39" w:rsidP="00E241E3">
      <w:pPr>
        <w:tabs>
          <w:tab w:val="left" w:pos="284"/>
        </w:tabs>
        <w:spacing w:line="276" w:lineRule="auto"/>
        <w:jc w:val="both"/>
        <w:rPr>
          <w:b/>
        </w:rPr>
      </w:pPr>
      <w:r w:rsidRPr="002A27D6">
        <w:rPr>
          <w:b/>
        </w:rPr>
        <w:t>VI – Apresentar os seguintes</w:t>
      </w:r>
      <w:r w:rsidR="002A27D6" w:rsidRPr="002A27D6">
        <w:rPr>
          <w:b/>
        </w:rPr>
        <w:t xml:space="preserve"> documentos:</w:t>
      </w:r>
    </w:p>
    <w:p w:rsidR="002A27D6" w:rsidRDefault="002A27D6" w:rsidP="00E241E3">
      <w:pPr>
        <w:pStyle w:val="PargrafodaList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>
        <w:t>Ato de registro ou autorização expedido pelo Banco Central do Brasil e pela Comissão de Valores Mobiliários (CVM). Em se tratando de Empresa ou Sociedade Estrangeira em funcionamento no País, Decreto de Autorização;</w:t>
      </w:r>
    </w:p>
    <w:p w:rsidR="002A27D6" w:rsidRDefault="002A27D6" w:rsidP="00E241E3">
      <w:pPr>
        <w:pStyle w:val="PargrafodaList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>
        <w:t>Documento de inscrição no Cadastro Nacional de Pessoa Jurídica (CNPJ);</w:t>
      </w:r>
    </w:p>
    <w:p w:rsidR="002A27D6" w:rsidRDefault="002A27D6" w:rsidP="00E241E3">
      <w:pPr>
        <w:pStyle w:val="PargrafodaList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>
        <w:t>Prova de regularidade para com a Fazenda Federal, Estadual e Municipal do domicilio ou sede do credenciamento, ou outra equivalente, na forma da lei;</w:t>
      </w:r>
    </w:p>
    <w:p w:rsidR="002A27D6" w:rsidRDefault="002A27D6" w:rsidP="00E241E3">
      <w:pPr>
        <w:pStyle w:val="PargrafodaList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>
        <w:t>Certidão de regularidade junto ao Fundo de Garantia do Tempo de Serviço (FGTS) expedida pela Caixa Econômica Federal;</w:t>
      </w:r>
    </w:p>
    <w:p w:rsidR="002A27D6" w:rsidRDefault="002A27D6" w:rsidP="00E241E3">
      <w:pPr>
        <w:pStyle w:val="PargrafodaLista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</w:pPr>
      <w:r>
        <w:t>Declaração nos termos do anexo II deste edital.</w:t>
      </w:r>
    </w:p>
    <w:p w:rsidR="002A27D6" w:rsidRPr="009C21F9" w:rsidRDefault="002A27D6" w:rsidP="00E241E3">
      <w:pPr>
        <w:pStyle w:val="PargrafodaLista"/>
        <w:tabs>
          <w:tab w:val="left" w:pos="284"/>
        </w:tabs>
        <w:spacing w:line="276" w:lineRule="auto"/>
        <w:ind w:left="0"/>
        <w:jc w:val="both"/>
        <w:rPr>
          <w:b/>
        </w:rPr>
      </w:pPr>
      <w:r w:rsidRPr="009C21F9">
        <w:rPr>
          <w:b/>
        </w:rPr>
        <w:t xml:space="preserve">VII – </w:t>
      </w:r>
      <w:r w:rsidR="00E4738B" w:rsidRPr="009C21F9">
        <w:rPr>
          <w:b/>
        </w:rPr>
        <w:t>Quando tratar-se de aplicação em Fundos de Investimentos, o credenciamento recairá sobre a figura do gestor e do administrador do fundo, que deverá apresentar, além de toda a documentação solicitada no item 3.2, Inciso I a VI:</w:t>
      </w:r>
    </w:p>
    <w:p w:rsidR="00E4738B" w:rsidRDefault="00E4738B" w:rsidP="00E241E3">
      <w:pPr>
        <w:pStyle w:val="PargrafodaLista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>
        <w:t>Histórico e experiência de atuação do gestor e do administrador do fundo de investimento e de seus controladores;</w:t>
      </w:r>
    </w:p>
    <w:p w:rsidR="00E4738B" w:rsidRDefault="00E4738B" w:rsidP="00E241E3">
      <w:pPr>
        <w:pStyle w:val="PargrafodaLista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>
        <w:t>Volume de recursos sob sua gestão e administração, bem como qualificação do corpo técnico e comprovação de segregação de atividades;</w:t>
      </w:r>
    </w:p>
    <w:p w:rsidR="00E4738B" w:rsidRDefault="00E4738B" w:rsidP="00E241E3">
      <w:pPr>
        <w:pStyle w:val="PargrafodaLista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</w:pPr>
      <w:r>
        <w:lastRenderedPageBreak/>
        <w:t>Lamina do fundo de investimento que possibilite a avaliação da aderência da rentabilidade aos indicadores de desempenho e riscos assumidos pelos fundos de investimentos sob sua gestão e administração, no período mínimo de dois anos anteriores ao credenciamento.</w:t>
      </w:r>
    </w:p>
    <w:p w:rsidR="00E4738B" w:rsidRDefault="00E4738B" w:rsidP="00E241E3">
      <w:pPr>
        <w:tabs>
          <w:tab w:val="left" w:pos="284"/>
        </w:tabs>
        <w:spacing w:line="276" w:lineRule="auto"/>
        <w:jc w:val="both"/>
      </w:pPr>
      <w:r>
        <w:t xml:space="preserve">VIII </w:t>
      </w:r>
      <w:r w:rsidR="00220D79">
        <w:t>–</w:t>
      </w:r>
      <w:r>
        <w:t xml:space="preserve"> </w:t>
      </w:r>
      <w:r w:rsidR="00220D79">
        <w:t>As Instituições Financeiras habilitadas a participar do Processo de Credenciamento poderão ser submetidas a uma serie de quesitos e à apresentação de documentos relacionados às condições de segurança, rentabilidade, solvência, transparência, e legalidade de sua constituição e dos produtos ofertados por elas.</w:t>
      </w:r>
    </w:p>
    <w:p w:rsidR="00220D79" w:rsidRDefault="00702E39" w:rsidP="00E241E3">
      <w:pPr>
        <w:tabs>
          <w:tab w:val="left" w:pos="284"/>
        </w:tabs>
        <w:spacing w:line="276" w:lineRule="auto"/>
        <w:jc w:val="both"/>
      </w:pPr>
      <w:r>
        <w:t>§ 1º. Os quesitos e documentos mencionados no item VIII, serão submetidos à análise e parecer do Comitê de Investimentos do HUMAITAPREV.</w:t>
      </w:r>
    </w:p>
    <w:p w:rsidR="00702E39" w:rsidRDefault="00702E39" w:rsidP="00E241E3">
      <w:pPr>
        <w:tabs>
          <w:tab w:val="left" w:pos="284"/>
        </w:tabs>
        <w:spacing w:line="276" w:lineRule="auto"/>
        <w:jc w:val="both"/>
      </w:pPr>
      <w:r>
        <w:t xml:space="preserve">§ 2º. O HUMAITAPREV, por intermédio do Comitê de Investimentos, designado por seu PRESIDENTE por meio do Decreto Municipal nº 000/2017-GAB.PREF. </w:t>
      </w:r>
      <w:proofErr w:type="gramStart"/>
      <w:r>
        <w:t>avaliará</w:t>
      </w:r>
      <w:proofErr w:type="gramEnd"/>
      <w:r>
        <w:t xml:space="preserve"> as Instituições Financeiras interessadas em se credenciar, mediante análise dos critérios dispostos no presente edital.</w:t>
      </w:r>
    </w:p>
    <w:p w:rsidR="00436A43" w:rsidRDefault="00436A43" w:rsidP="00E241E3">
      <w:pPr>
        <w:tabs>
          <w:tab w:val="left" w:pos="284"/>
        </w:tabs>
        <w:spacing w:line="276" w:lineRule="auto"/>
        <w:jc w:val="both"/>
      </w:pPr>
      <w:r>
        <w:t>IX – O Credenciamento da Instituição Financeira se dará a partir da análise prevista no parágrafo anterior pelo Comitê de Investimentos, sendo posteriormente submetido ao Conselho de Administração do HUMAITAPREV para aprovação.</w:t>
      </w:r>
    </w:p>
    <w:p w:rsidR="00436A43" w:rsidRDefault="00436A43" w:rsidP="00E241E3">
      <w:pPr>
        <w:tabs>
          <w:tab w:val="left" w:pos="284"/>
        </w:tabs>
        <w:spacing w:line="276" w:lineRule="auto"/>
        <w:jc w:val="both"/>
      </w:pPr>
      <w:r>
        <w:t>X – O Credenciamento de Instituição Financeira não implicará, para o HUMAITAPREV, em qualquer hipótese, na obrigação de alocar ou manter seus recursos nas aplicações financeiras por ela administ</w:t>
      </w:r>
      <w:r w:rsidR="00AE6465">
        <w:t>radas, geridas ou distribuídas.</w:t>
      </w:r>
    </w:p>
    <w:p w:rsidR="00AE6465" w:rsidRDefault="00AE6465" w:rsidP="00E241E3">
      <w:pPr>
        <w:tabs>
          <w:tab w:val="left" w:pos="284"/>
        </w:tabs>
        <w:spacing w:line="276" w:lineRule="auto"/>
        <w:jc w:val="both"/>
      </w:pPr>
      <w:r>
        <w:t xml:space="preserve">XI </w:t>
      </w:r>
      <w:r w:rsidR="005A064D">
        <w:t>–</w:t>
      </w:r>
      <w:r>
        <w:t xml:space="preserve"> </w:t>
      </w:r>
      <w:r w:rsidR="005A064D">
        <w:t xml:space="preserve">O credenciamento </w:t>
      </w:r>
      <w:r w:rsidR="005A064D" w:rsidRPr="005A064D">
        <w:t xml:space="preserve">terá </w:t>
      </w:r>
      <w:r w:rsidR="005A064D" w:rsidRPr="005A064D">
        <w:rPr>
          <w:b/>
        </w:rPr>
        <w:t>validade de 06 (seis) meses</w:t>
      </w:r>
      <w:r w:rsidR="005A064D">
        <w:t>, devendo após esse prazo as instituições credenciadas e interessadas em renovar seu credenciamento apresentar o formulário do anexo IV devidamente preenchido e acompanhado da documentação exigida neste Edital.</w:t>
      </w:r>
    </w:p>
    <w:p w:rsidR="005A064D" w:rsidRDefault="00576B32" w:rsidP="00E241E3">
      <w:pPr>
        <w:tabs>
          <w:tab w:val="left" w:pos="284"/>
        </w:tabs>
        <w:spacing w:line="276" w:lineRule="auto"/>
        <w:jc w:val="both"/>
      </w:pPr>
      <w:r>
        <w:t>§ 1º. As instituições controladas pelo Poder Público serão cadastradas na forma do Edital de Credenciamento, mas não se submetem ao limite estabelecido no item III deste edital.</w:t>
      </w:r>
    </w:p>
    <w:p w:rsidR="00576B32" w:rsidRDefault="00576B32" w:rsidP="00E241E3">
      <w:pPr>
        <w:tabs>
          <w:tab w:val="left" w:pos="284"/>
        </w:tabs>
        <w:spacing w:line="276" w:lineRule="auto"/>
        <w:jc w:val="both"/>
      </w:pPr>
      <w:r>
        <w:t>XII – O HUMAITAPREV tem a prerrogativa de descredenciar a Instituição Financeira a qualquer tempo, mediante aviso ou notificação, sendo desobrigado a quaisquer ônus, do pagamento de multa ou indenização, se a Instituição Financeira Credenciada descumprir a Resolução CVM nº 3.922/2010, a Política de Investimentos da instituição ou a legislação pertinente dos Órgãos Competentes.</w:t>
      </w:r>
    </w:p>
    <w:p w:rsidR="00576B32" w:rsidRDefault="00BE00A1" w:rsidP="00E241E3">
      <w:pPr>
        <w:tabs>
          <w:tab w:val="left" w:pos="284"/>
        </w:tabs>
        <w:spacing w:line="276" w:lineRule="auto"/>
        <w:jc w:val="both"/>
      </w:pPr>
      <w:r>
        <w:t>§ 1º. Será descredenciada, ainda, se deixar de executar o serviço na forma e nos prazos estabelecidos no Regulamento dos seus respectivos Fundos de Investimentos,</w:t>
      </w:r>
      <w:r w:rsidR="00033921">
        <w:t xml:space="preserve"> infringir disposição do Termo de Credenciamento ou a pedido do Comitê de Investimentos.</w:t>
      </w:r>
    </w:p>
    <w:p w:rsidR="00033921" w:rsidRDefault="00033921" w:rsidP="00E241E3">
      <w:pPr>
        <w:tabs>
          <w:tab w:val="left" w:pos="284"/>
        </w:tabs>
        <w:spacing w:line="276" w:lineRule="auto"/>
        <w:jc w:val="both"/>
      </w:pPr>
      <w:r>
        <w:t>§ 2º. Para o descredenciamento será aberto processo administrativo onde será assegurado à Instituição Financeira o contraditório e ampla defesa.</w:t>
      </w:r>
    </w:p>
    <w:p w:rsidR="00033921" w:rsidRDefault="00033921" w:rsidP="00E241E3">
      <w:pPr>
        <w:tabs>
          <w:tab w:val="left" w:pos="284"/>
        </w:tabs>
        <w:spacing w:line="276" w:lineRule="auto"/>
        <w:jc w:val="both"/>
      </w:pPr>
      <w:r>
        <w:t>§ 3º. No caso de descredenciamento, o HUMAITAPREV comunicará a instituição e promoverá a publicação do ato na imprensa oficial, independente de quaisquer sanções legais aplicáveis ao caso, bem como levará ao conhecimento dos órgãos de regulamentação e fiscalização, quando for o caso.</w:t>
      </w:r>
    </w:p>
    <w:p w:rsidR="00033921" w:rsidRPr="00033921" w:rsidRDefault="00033921" w:rsidP="00E241E3">
      <w:pPr>
        <w:tabs>
          <w:tab w:val="left" w:pos="284"/>
        </w:tabs>
        <w:spacing w:line="276" w:lineRule="auto"/>
        <w:jc w:val="both"/>
        <w:rPr>
          <w:b/>
        </w:rPr>
      </w:pPr>
      <w:r w:rsidRPr="00033921">
        <w:rPr>
          <w:b/>
        </w:rPr>
        <w:t>XIII – O HUMAITAPREV poderá solicitar a qualquer tempo esclarecimento e informações complementares que julgar necessário para tomada de decisões.</w:t>
      </w:r>
    </w:p>
    <w:p w:rsidR="00033921" w:rsidRDefault="00033921" w:rsidP="00E241E3">
      <w:pPr>
        <w:tabs>
          <w:tab w:val="left" w:pos="284"/>
        </w:tabs>
        <w:spacing w:line="276" w:lineRule="auto"/>
        <w:jc w:val="both"/>
      </w:pPr>
      <w:r>
        <w:lastRenderedPageBreak/>
        <w:t>XIV – As Instituições Financeiras Credenciadas e detentoras de recursos do HUMAITAPREV deverão trimestralmente prestar contas, na forma de relatórios ou presencial, a critério do HUMAITAPREV.</w:t>
      </w:r>
    </w:p>
    <w:p w:rsidR="00033921" w:rsidRDefault="00033921" w:rsidP="00E241E3">
      <w:pPr>
        <w:tabs>
          <w:tab w:val="left" w:pos="284"/>
        </w:tabs>
        <w:spacing w:line="276" w:lineRule="auto"/>
        <w:jc w:val="both"/>
      </w:pPr>
      <w:r>
        <w:t>XV – O presente edital poderá ser revisto semestralmente ou a critério do HUMAITAPREV sempre que houver necessidade decorrente de alteração Normativa, inclusive para adequação à exigência nova do Ministério da Previdência.</w:t>
      </w:r>
    </w:p>
    <w:p w:rsidR="00033921" w:rsidRDefault="00CB1BEC" w:rsidP="00E241E3">
      <w:pPr>
        <w:tabs>
          <w:tab w:val="left" w:pos="284"/>
        </w:tabs>
        <w:spacing w:line="276" w:lineRule="auto"/>
        <w:jc w:val="both"/>
      </w:pPr>
      <w:r>
        <w:t>XVI – Os casos omissos serão submetidos ao Comitê de Investimentos e remetidos, quando necessários, aos conselhos do HUMAITAPREV.</w:t>
      </w:r>
    </w:p>
    <w:p w:rsidR="00CB1BEC" w:rsidRDefault="00CB1BEC" w:rsidP="00E241E3">
      <w:pPr>
        <w:tabs>
          <w:tab w:val="left" w:pos="284"/>
        </w:tabs>
        <w:spacing w:line="276" w:lineRule="auto"/>
        <w:jc w:val="both"/>
      </w:pPr>
      <w:r>
        <w:t>XVII – O foro competente para dirimir eventuais demandas oriundas, derivadas ou conexas com o presente edital e consequente credenciamento é o da Justiça Comum da Comarca de Humaitá/AM.</w:t>
      </w:r>
    </w:p>
    <w:p w:rsidR="00CB1BEC" w:rsidRDefault="00CB1BEC" w:rsidP="00E241E3">
      <w:pPr>
        <w:tabs>
          <w:tab w:val="left" w:pos="284"/>
        </w:tabs>
        <w:spacing w:line="276" w:lineRule="auto"/>
        <w:jc w:val="both"/>
      </w:pPr>
    </w:p>
    <w:p w:rsidR="00CB1BEC" w:rsidRPr="00CB1BEC" w:rsidRDefault="00CB1BEC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CB1BEC">
        <w:rPr>
          <w:b/>
        </w:rPr>
        <w:t>PROTOCOLO DE PEDIDO DE CREDENCIAMENTO E DOS DOCUMENTOS DE HABILITAÇÃO</w:t>
      </w:r>
    </w:p>
    <w:p w:rsidR="00CB1BEC" w:rsidRDefault="00CB1BEC" w:rsidP="00E241E3">
      <w:pPr>
        <w:tabs>
          <w:tab w:val="left" w:pos="284"/>
        </w:tabs>
        <w:spacing w:line="276" w:lineRule="auto"/>
        <w:jc w:val="both"/>
      </w:pPr>
    </w:p>
    <w:p w:rsidR="00CB1BEC" w:rsidRDefault="001116A4" w:rsidP="00E241E3">
      <w:pPr>
        <w:tabs>
          <w:tab w:val="left" w:pos="284"/>
        </w:tabs>
        <w:spacing w:line="276" w:lineRule="auto"/>
        <w:jc w:val="both"/>
      </w:pPr>
      <w:r>
        <w:t>4.1</w:t>
      </w:r>
      <w:proofErr w:type="gramStart"/>
      <w:r>
        <w:t xml:space="preserve">) </w:t>
      </w:r>
      <w:r w:rsidR="00CB1BEC">
        <w:t>Os</w:t>
      </w:r>
      <w:proofErr w:type="gramEnd"/>
      <w:r w:rsidR="00CB1BEC">
        <w:t xml:space="preserve"> documentos deverão ser entregues na sede do HUMAITAPREV, com endereço informado na qualificação do mesmo, os quais serão protocolados, por meio de </w:t>
      </w:r>
      <w:r>
        <w:t>ofício</w:t>
      </w:r>
      <w:r w:rsidR="00CB1BEC">
        <w:t xml:space="preserve"> de encaminhamento, elaborado pela instituição interessada, constituindo um processo administrativo, </w:t>
      </w:r>
      <w:r>
        <w:t>e a qualquer momento com fulcro neste edital, enquanto este estiver válido.</w:t>
      </w:r>
      <w:r w:rsidR="00CB1BEC">
        <w:t xml:space="preserve"> </w:t>
      </w:r>
    </w:p>
    <w:p w:rsidR="001116A4" w:rsidRDefault="001116A4" w:rsidP="00E241E3">
      <w:pPr>
        <w:tabs>
          <w:tab w:val="left" w:pos="284"/>
        </w:tabs>
        <w:spacing w:line="276" w:lineRule="auto"/>
        <w:jc w:val="both"/>
      </w:pPr>
      <w:r>
        <w:t xml:space="preserve">4.2) A entrega dos documentos poderá acontecer na sede do HUAMITAPREV, </w:t>
      </w:r>
      <w:r w:rsidR="008B019D">
        <w:t xml:space="preserve">em qualquer dia útil, </w:t>
      </w:r>
      <w:r>
        <w:t>de segunda a sexta-feira, das 08:30 às 11:30 e das 14:00 às 17:00 h</w:t>
      </w:r>
      <w:r w:rsidR="008B019D">
        <w:t>ora</w:t>
      </w:r>
      <w:r>
        <w:t xml:space="preserve">s, horário local, uma vez que </w:t>
      </w:r>
      <w:r w:rsidR="008B019D">
        <w:t>o credenciamento é um processo de inscrição permanentemente aberto.</w:t>
      </w:r>
    </w:p>
    <w:p w:rsidR="008B019D" w:rsidRPr="00E241E3" w:rsidRDefault="008B019D" w:rsidP="00E241E3">
      <w:pPr>
        <w:tabs>
          <w:tab w:val="left" w:pos="284"/>
        </w:tabs>
        <w:spacing w:line="276" w:lineRule="auto"/>
        <w:jc w:val="both"/>
        <w:rPr>
          <w:b/>
        </w:rPr>
      </w:pPr>
    </w:p>
    <w:p w:rsidR="008B019D" w:rsidRPr="00E241E3" w:rsidRDefault="008B019D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E241E3">
        <w:rPr>
          <w:b/>
        </w:rPr>
        <w:t>ANALISE DA DOCUMENTAÇÃO (QUALIFICAÇÃO)</w:t>
      </w:r>
    </w:p>
    <w:p w:rsidR="008B019D" w:rsidRDefault="008B019D" w:rsidP="00E241E3">
      <w:pPr>
        <w:tabs>
          <w:tab w:val="left" w:pos="284"/>
        </w:tabs>
        <w:spacing w:line="276" w:lineRule="auto"/>
        <w:jc w:val="both"/>
      </w:pPr>
    </w:p>
    <w:p w:rsidR="008B019D" w:rsidRDefault="008B019D" w:rsidP="00E241E3">
      <w:pPr>
        <w:tabs>
          <w:tab w:val="left" w:pos="284"/>
        </w:tabs>
        <w:spacing w:line="276" w:lineRule="auto"/>
        <w:jc w:val="both"/>
      </w:pPr>
      <w:r>
        <w:t>5.1</w:t>
      </w:r>
      <w:proofErr w:type="gramStart"/>
      <w:r>
        <w:t>) Após</w:t>
      </w:r>
      <w:proofErr w:type="gramEnd"/>
      <w:r>
        <w:t xml:space="preserve"> o recebimento de todos os documentos, os mesmos serão encaminhados para o Superintendente do HUMAITAPREV, que por sua vez, os encaminhará para análise dos membros do Comitê de Investimentos e para o Conselho de Administração, que deliberarão, até a imediata reunião dos mesmos, acerca do deferimento ou do indeferimento do credenciamento da instituição financeira.</w:t>
      </w:r>
    </w:p>
    <w:p w:rsidR="008B019D" w:rsidRDefault="008B019D" w:rsidP="00E241E3">
      <w:pPr>
        <w:tabs>
          <w:tab w:val="left" w:pos="284"/>
        </w:tabs>
        <w:spacing w:line="276" w:lineRule="auto"/>
        <w:jc w:val="both"/>
      </w:pPr>
      <w:r>
        <w:t>5.2</w:t>
      </w:r>
      <w:proofErr w:type="gramStart"/>
      <w:r>
        <w:t>) As</w:t>
      </w:r>
      <w:proofErr w:type="gramEnd"/>
      <w:r>
        <w:t xml:space="preserve"> decisões do Conselho de Administração e do Comitê de Investimentos serão formais (escritas), consubstanciadas em ata própria de cada colegiado.</w:t>
      </w:r>
    </w:p>
    <w:p w:rsidR="003C6036" w:rsidRDefault="003C6036" w:rsidP="00E241E3">
      <w:pPr>
        <w:tabs>
          <w:tab w:val="left" w:pos="284"/>
        </w:tabs>
        <w:spacing w:line="276" w:lineRule="auto"/>
        <w:jc w:val="both"/>
      </w:pPr>
      <w:r>
        <w:t>5.3</w:t>
      </w:r>
      <w:proofErr w:type="gramStart"/>
      <w:r>
        <w:t>) Na</w:t>
      </w:r>
      <w:proofErr w:type="gramEnd"/>
      <w:r>
        <w:t xml:space="preserve"> hipótese de divergência de decisões entre os conselhos, </w:t>
      </w:r>
      <w:r w:rsidR="004A0FB6">
        <w:t xml:space="preserve">deverá </w:t>
      </w:r>
      <w:r>
        <w:t xml:space="preserve">prevalecer a decisão do </w:t>
      </w:r>
      <w:r w:rsidR="00616C79">
        <w:t>Comitê de Investimentos</w:t>
      </w:r>
      <w:r w:rsidR="004A0FB6">
        <w:t xml:space="preserve">, que é o </w:t>
      </w:r>
      <w:r w:rsidR="00616C79">
        <w:t xml:space="preserve">órgão técnico </w:t>
      </w:r>
      <w:r w:rsidR="004A0FB6">
        <w:t xml:space="preserve">de orientação e </w:t>
      </w:r>
      <w:r w:rsidR="00616C79">
        <w:t>deliberação</w:t>
      </w:r>
      <w:r w:rsidR="004A0FB6">
        <w:t>.</w:t>
      </w:r>
    </w:p>
    <w:p w:rsidR="004A0FB6" w:rsidRDefault="004A0FB6" w:rsidP="00E241E3">
      <w:pPr>
        <w:tabs>
          <w:tab w:val="left" w:pos="284"/>
        </w:tabs>
        <w:spacing w:line="276" w:lineRule="auto"/>
        <w:jc w:val="both"/>
      </w:pPr>
      <w:r>
        <w:t>5.4) O Superintendente do HUMAITAPREV, na sequência, se manifestará formalmente e ratificará o indeferimento dos conselhos ou homologará o pedido de credenciamento, em até 05 (cinco) dias uteis.</w:t>
      </w:r>
    </w:p>
    <w:p w:rsidR="004A0FB6" w:rsidRPr="004A0FB6" w:rsidRDefault="004A0FB6" w:rsidP="00E241E3">
      <w:pPr>
        <w:tabs>
          <w:tab w:val="left" w:pos="284"/>
        </w:tabs>
        <w:spacing w:line="276" w:lineRule="auto"/>
        <w:jc w:val="both"/>
        <w:rPr>
          <w:b/>
        </w:rPr>
      </w:pPr>
      <w:r w:rsidRPr="004A0FB6">
        <w:rPr>
          <w:b/>
        </w:rPr>
        <w:t xml:space="preserve">5.5) Caberá ao </w:t>
      </w:r>
      <w:r w:rsidR="00900E43">
        <w:rPr>
          <w:b/>
        </w:rPr>
        <w:t>Superintendente do HUMAITAPREV</w:t>
      </w:r>
      <w:r w:rsidRPr="004A0FB6">
        <w:rPr>
          <w:b/>
        </w:rPr>
        <w:t xml:space="preserve"> a emissão d</w:t>
      </w:r>
      <w:r w:rsidR="00900E43">
        <w:rPr>
          <w:b/>
        </w:rPr>
        <w:t>o</w:t>
      </w:r>
      <w:r w:rsidRPr="004A0FB6">
        <w:rPr>
          <w:b/>
        </w:rPr>
        <w:t xml:space="preserve"> Certificado de Credenciamento</w:t>
      </w:r>
      <w:r w:rsidR="00900E43">
        <w:rPr>
          <w:b/>
        </w:rPr>
        <w:t xml:space="preserve"> e</w:t>
      </w:r>
      <w:r w:rsidRPr="004A0FB6">
        <w:rPr>
          <w:b/>
        </w:rPr>
        <w:t xml:space="preserve"> o envio </w:t>
      </w:r>
      <w:r w:rsidR="00900E43">
        <w:rPr>
          <w:b/>
        </w:rPr>
        <w:t>do mesmo</w:t>
      </w:r>
      <w:r w:rsidRPr="004A0FB6">
        <w:rPr>
          <w:b/>
        </w:rPr>
        <w:t xml:space="preserve"> à Instituição Financeira credenciada e a publicação oficial.</w:t>
      </w:r>
    </w:p>
    <w:p w:rsidR="004A0FB6" w:rsidRDefault="008108A6" w:rsidP="00E241E3">
      <w:pPr>
        <w:tabs>
          <w:tab w:val="left" w:pos="284"/>
        </w:tabs>
        <w:spacing w:line="276" w:lineRule="auto"/>
        <w:jc w:val="both"/>
      </w:pPr>
      <w:r>
        <w:t>5.6) O Superintendente do HUMAITAPREV e os membros dos Conselhos e do Comitê de Investimentos pod</w:t>
      </w:r>
      <w:r w:rsidR="00900E43">
        <w:t>erão</w:t>
      </w:r>
      <w:r>
        <w:t xml:space="preserve"> encaminhar a qualquer tempo, pedido para que a Instituição Financeira </w:t>
      </w:r>
      <w:r>
        <w:lastRenderedPageBreak/>
        <w:t>esclareça algo ou apresente documento extra que o Ministério da Previdência poderá exigir futuramente.</w:t>
      </w:r>
    </w:p>
    <w:p w:rsidR="008108A6" w:rsidRDefault="008108A6" w:rsidP="00E241E3">
      <w:pPr>
        <w:tabs>
          <w:tab w:val="left" w:pos="284"/>
        </w:tabs>
        <w:spacing w:line="276" w:lineRule="auto"/>
        <w:jc w:val="both"/>
      </w:pPr>
      <w:r>
        <w:t xml:space="preserve">5.7) O pedido de credenciamento poderá ser indeferido caso, sendo intimada, a instituição financeira não supra todas as exigências solicitadas. </w:t>
      </w:r>
    </w:p>
    <w:p w:rsidR="008108A6" w:rsidRDefault="008108A6" w:rsidP="00E241E3">
      <w:pPr>
        <w:tabs>
          <w:tab w:val="left" w:pos="284"/>
        </w:tabs>
        <w:spacing w:line="276" w:lineRule="auto"/>
        <w:jc w:val="both"/>
      </w:pPr>
      <w:r>
        <w:t>5.8) O CREDENCIA</w:t>
      </w:r>
      <w:r w:rsidR="00900E43">
        <w:t>N</w:t>
      </w:r>
      <w:r>
        <w:t>TE poderá solicitar esclarecimentos supervenientes à CREDENCIADA quando julgar necessário.</w:t>
      </w:r>
    </w:p>
    <w:p w:rsidR="008108A6" w:rsidRDefault="008108A6" w:rsidP="00E241E3">
      <w:pPr>
        <w:tabs>
          <w:tab w:val="left" w:pos="284"/>
        </w:tabs>
        <w:spacing w:line="276" w:lineRule="auto"/>
        <w:jc w:val="both"/>
      </w:pPr>
    </w:p>
    <w:p w:rsidR="008108A6" w:rsidRPr="008108A6" w:rsidRDefault="008108A6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8108A6">
        <w:rPr>
          <w:b/>
        </w:rPr>
        <w:t>IMPUGNAÇÃO AO EDITAL E RECURSOS</w:t>
      </w:r>
    </w:p>
    <w:p w:rsidR="008108A6" w:rsidRDefault="008108A6" w:rsidP="00E241E3">
      <w:pPr>
        <w:tabs>
          <w:tab w:val="left" w:pos="284"/>
        </w:tabs>
        <w:spacing w:line="276" w:lineRule="auto"/>
        <w:jc w:val="both"/>
      </w:pPr>
    </w:p>
    <w:p w:rsidR="008108A6" w:rsidRDefault="008108A6" w:rsidP="00E241E3">
      <w:pPr>
        <w:tabs>
          <w:tab w:val="left" w:pos="284"/>
        </w:tabs>
        <w:spacing w:line="276" w:lineRule="auto"/>
        <w:jc w:val="both"/>
      </w:pPr>
      <w:r>
        <w:t>6.1) A impugnação ao Edital poderá ser feita a</w:t>
      </w:r>
      <w:r w:rsidR="008112DB">
        <w:t>té 02 (dois) dias uteis após a publicação</w:t>
      </w:r>
      <w:r>
        <w:t>.</w:t>
      </w:r>
    </w:p>
    <w:p w:rsidR="007D4F18" w:rsidRDefault="007D4F18" w:rsidP="00E241E3">
      <w:pPr>
        <w:tabs>
          <w:tab w:val="left" w:pos="284"/>
        </w:tabs>
        <w:spacing w:line="276" w:lineRule="auto"/>
        <w:jc w:val="both"/>
      </w:pPr>
      <w:r>
        <w:t>6.2</w:t>
      </w:r>
      <w:proofErr w:type="gramStart"/>
      <w:r>
        <w:t>) Não</w:t>
      </w:r>
      <w:proofErr w:type="gramEnd"/>
      <w:r>
        <w:t xml:space="preserve"> serão conhecidas as impugnações e os recursos meramente protelatórios ou subscritos por representante não habilitado legalmente ou não identificado no processo para responder pela instituição financeira.</w:t>
      </w:r>
    </w:p>
    <w:p w:rsidR="007D4F18" w:rsidRDefault="007D4F18" w:rsidP="00E241E3">
      <w:pPr>
        <w:tabs>
          <w:tab w:val="left" w:pos="284"/>
        </w:tabs>
        <w:spacing w:line="276" w:lineRule="auto"/>
        <w:jc w:val="both"/>
      </w:pPr>
      <w:r>
        <w:t>6.3</w:t>
      </w:r>
      <w:proofErr w:type="gramStart"/>
      <w:r>
        <w:t>) Os</w:t>
      </w:r>
      <w:proofErr w:type="gramEnd"/>
      <w:r>
        <w:t xml:space="preserve"> recursos contra decisões do HUMAITAPREV não terão efeito suspensivo, cujo acolhimento de recurso importará a invalidação apenas dos atos insuscetíveis de aproveitamento.</w:t>
      </w:r>
    </w:p>
    <w:p w:rsidR="007D4F18" w:rsidRDefault="007D4F18" w:rsidP="00E241E3">
      <w:pPr>
        <w:tabs>
          <w:tab w:val="left" w:pos="284"/>
        </w:tabs>
        <w:spacing w:line="276" w:lineRule="auto"/>
        <w:jc w:val="both"/>
      </w:pPr>
      <w:r>
        <w:t>6.4</w:t>
      </w:r>
      <w:proofErr w:type="gramStart"/>
      <w:r>
        <w:t>) Em</w:t>
      </w:r>
      <w:proofErr w:type="gramEnd"/>
      <w:r>
        <w:t xml:space="preserve"> caso de indeferimento do pedido de credenciamento, haverá comunicação expressa ao interessado, ficando assegurado o direito de recurso ao Presidente credenciante em até 05 (cinco) dias uteis a contar da publicação na imprensa oficial do município.</w:t>
      </w:r>
    </w:p>
    <w:p w:rsidR="007D4F18" w:rsidRDefault="007D4F18" w:rsidP="00E241E3">
      <w:pPr>
        <w:tabs>
          <w:tab w:val="left" w:pos="284"/>
        </w:tabs>
        <w:spacing w:line="276" w:lineRule="auto"/>
        <w:jc w:val="both"/>
      </w:pPr>
      <w:r>
        <w:t>6.5</w:t>
      </w:r>
      <w:proofErr w:type="gramStart"/>
      <w:r>
        <w:t>) Havendo</w:t>
      </w:r>
      <w:proofErr w:type="gramEnd"/>
      <w:r>
        <w:t xml:space="preserve"> indeferimento dos pedidos de credenciamento, facultam-se aos interessados apresentarem novos pedidos, a contar da data </w:t>
      </w:r>
      <w:r w:rsidR="0090624A">
        <w:t>de ratificação do indeferimento pelo Presidente credenciante ou da data de julgamento que não acolheu o recurso, se houver.</w:t>
      </w:r>
    </w:p>
    <w:p w:rsidR="0090624A" w:rsidRDefault="0090624A" w:rsidP="00E241E3">
      <w:pPr>
        <w:tabs>
          <w:tab w:val="left" w:pos="284"/>
        </w:tabs>
        <w:spacing w:line="276" w:lineRule="auto"/>
        <w:jc w:val="both"/>
      </w:pPr>
    </w:p>
    <w:p w:rsidR="0090624A" w:rsidRPr="0090624A" w:rsidRDefault="0090624A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90624A">
        <w:rPr>
          <w:b/>
        </w:rPr>
        <w:t>DA VIGENCIA DA CERTIDÃO DE CREDENCIAMENTO</w:t>
      </w:r>
    </w:p>
    <w:p w:rsidR="0090624A" w:rsidRDefault="0090624A" w:rsidP="00E241E3">
      <w:pPr>
        <w:tabs>
          <w:tab w:val="left" w:pos="284"/>
        </w:tabs>
        <w:spacing w:line="276" w:lineRule="auto"/>
        <w:jc w:val="both"/>
      </w:pPr>
    </w:p>
    <w:p w:rsidR="0090624A" w:rsidRPr="0090624A" w:rsidRDefault="0090624A" w:rsidP="00E241E3">
      <w:pPr>
        <w:tabs>
          <w:tab w:val="left" w:pos="284"/>
        </w:tabs>
        <w:spacing w:line="276" w:lineRule="auto"/>
        <w:jc w:val="both"/>
        <w:rPr>
          <w:b/>
        </w:rPr>
      </w:pPr>
      <w:r>
        <w:t xml:space="preserve">7.1) </w:t>
      </w:r>
      <w:r w:rsidRPr="0090624A">
        <w:rPr>
          <w:b/>
        </w:rPr>
        <w:t>O certificado de Credenciamento terá vigência de 06 (seis) meses, conforme artigo 3º, § 3º, da Portaria 519/2011, a contar da data da publicação deste Edital, podendo ser renovado pelo HUMAITAPREV, desde que a CREDENC</w:t>
      </w:r>
      <w:r w:rsidR="008112DB">
        <w:rPr>
          <w:b/>
        </w:rPr>
        <w:t>I</w:t>
      </w:r>
      <w:r w:rsidRPr="0090624A">
        <w:rPr>
          <w:b/>
        </w:rPr>
        <w:t>ADA remeta novamente toda a documentação exigida antes do termino do prazo.</w:t>
      </w:r>
    </w:p>
    <w:p w:rsidR="0090624A" w:rsidRDefault="0090624A" w:rsidP="00E241E3">
      <w:pPr>
        <w:tabs>
          <w:tab w:val="left" w:pos="284"/>
        </w:tabs>
        <w:spacing w:line="276" w:lineRule="auto"/>
        <w:jc w:val="both"/>
      </w:pPr>
      <w:r>
        <w:t xml:space="preserve">7.2) </w:t>
      </w:r>
      <w:r w:rsidRPr="00052A64">
        <w:rPr>
          <w:b/>
        </w:rPr>
        <w:t>O Edital será valido por prazo indeterminado</w:t>
      </w:r>
      <w:r>
        <w:t xml:space="preserve">, podendo ser alterado a critério do HUMAITAPREV ou quando houver alteração na legislação especifica, em especial pelas </w:t>
      </w:r>
      <w:r w:rsidR="00052A64">
        <w:t>regulamentações do Ministério da Previdência Social.</w:t>
      </w:r>
    </w:p>
    <w:p w:rsidR="008108A6" w:rsidRDefault="00FB2E0C" w:rsidP="00E241E3">
      <w:pPr>
        <w:tabs>
          <w:tab w:val="left" w:pos="284"/>
        </w:tabs>
        <w:spacing w:line="276" w:lineRule="auto"/>
        <w:jc w:val="both"/>
      </w:pPr>
      <w:r>
        <w:t>7.3) A instituição financeira que fizer jus ao credenciamento comporá um banco de dados (documental), que ficará arquivado no HUMAITAPREV e que deverá ter sua documentação atualizada de 06 (seis) em 06 (seis) meses.</w:t>
      </w:r>
    </w:p>
    <w:p w:rsidR="00FB2E0C" w:rsidRDefault="00FB2E0C" w:rsidP="00E241E3">
      <w:pPr>
        <w:tabs>
          <w:tab w:val="left" w:pos="284"/>
        </w:tabs>
        <w:spacing w:line="276" w:lineRule="auto"/>
        <w:jc w:val="both"/>
      </w:pPr>
      <w:r>
        <w:t>7.4) O credenciamento das instituições financeiras não gera obrigação para o HUMAITAPREV de contratar com a credenciada.</w:t>
      </w:r>
    </w:p>
    <w:p w:rsidR="00B43BB7" w:rsidRDefault="00B43BB7" w:rsidP="00E241E3">
      <w:pPr>
        <w:tabs>
          <w:tab w:val="left" w:pos="284"/>
        </w:tabs>
        <w:spacing w:line="276" w:lineRule="auto"/>
        <w:jc w:val="both"/>
      </w:pPr>
      <w:r>
        <w:t>7.5</w:t>
      </w:r>
      <w:proofErr w:type="gramStart"/>
      <w:r>
        <w:t>) As</w:t>
      </w:r>
      <w:proofErr w:type="gramEnd"/>
      <w:r>
        <w:t xml:space="preserve"> instituições financeiras são responsáveis, em qualquer época, pela fidelidade e pela legitimidade das informações constantes nos documentos apresentados, bem como pela manutenção das condições que autorizaram a homologação dos pedidos de credenciamento.</w:t>
      </w:r>
    </w:p>
    <w:p w:rsidR="008108A6" w:rsidRDefault="008108A6" w:rsidP="00E241E3">
      <w:pPr>
        <w:tabs>
          <w:tab w:val="left" w:pos="284"/>
        </w:tabs>
        <w:spacing w:line="276" w:lineRule="auto"/>
        <w:jc w:val="both"/>
      </w:pPr>
    </w:p>
    <w:p w:rsidR="004E74F7" w:rsidRPr="004E74F7" w:rsidRDefault="004E74F7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4E74F7">
        <w:rPr>
          <w:b/>
        </w:rPr>
        <w:t>DAS PENALIDADES</w:t>
      </w:r>
    </w:p>
    <w:p w:rsidR="004E74F7" w:rsidRDefault="004E74F7" w:rsidP="00E241E3">
      <w:pPr>
        <w:tabs>
          <w:tab w:val="left" w:pos="284"/>
        </w:tabs>
        <w:spacing w:line="276" w:lineRule="auto"/>
        <w:jc w:val="both"/>
      </w:pPr>
      <w:r>
        <w:lastRenderedPageBreak/>
        <w:t>8.1</w:t>
      </w:r>
      <w:proofErr w:type="gramStart"/>
      <w:r>
        <w:t>) Sem</w:t>
      </w:r>
      <w:proofErr w:type="gramEnd"/>
      <w:r>
        <w:t xml:space="preserve"> prejuízos das demais sanções previstas em lei, a credenciada ficará sujeita às penalidade impostas pela Lei nº 8.666/93 e suas alterações.</w:t>
      </w:r>
    </w:p>
    <w:p w:rsidR="004E74F7" w:rsidRDefault="004E74F7" w:rsidP="00E241E3">
      <w:pPr>
        <w:tabs>
          <w:tab w:val="left" w:pos="284"/>
        </w:tabs>
        <w:spacing w:line="276" w:lineRule="auto"/>
        <w:jc w:val="both"/>
      </w:pPr>
    </w:p>
    <w:p w:rsidR="004E74F7" w:rsidRPr="004E74F7" w:rsidRDefault="004E74F7" w:rsidP="00E241E3">
      <w:pPr>
        <w:pStyle w:val="PargrafodaLista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4E74F7">
        <w:rPr>
          <w:b/>
        </w:rPr>
        <w:t>DAS DISPOSIÇÕES GERAIS</w:t>
      </w:r>
    </w:p>
    <w:p w:rsidR="004E74F7" w:rsidRDefault="004E74F7" w:rsidP="00E241E3">
      <w:pPr>
        <w:tabs>
          <w:tab w:val="left" w:pos="284"/>
        </w:tabs>
        <w:spacing w:line="276" w:lineRule="auto"/>
        <w:jc w:val="both"/>
      </w:pPr>
    </w:p>
    <w:p w:rsidR="004E74F7" w:rsidRDefault="004E74F7" w:rsidP="00E241E3">
      <w:pPr>
        <w:tabs>
          <w:tab w:val="left" w:pos="284"/>
        </w:tabs>
        <w:spacing w:line="276" w:lineRule="auto"/>
        <w:jc w:val="both"/>
      </w:pPr>
      <w:r>
        <w:t xml:space="preserve">9.1) </w:t>
      </w:r>
      <w:r w:rsidR="00F25FC9">
        <w:t xml:space="preserve">O presente Edital e seus anexos estão disponíveis na sede do HUMAITAPREV, com endereço já devidamente identificado, por correio eletrônico (e-mail), por meio do site </w:t>
      </w:r>
      <w:r w:rsidR="008112DB" w:rsidRPr="00702E39">
        <w:rPr>
          <w:color w:val="0070C0"/>
        </w:rPr>
        <w:t>www.diariomunicipal.com.br/</w:t>
      </w:r>
      <w:proofErr w:type="spellStart"/>
      <w:r w:rsidR="008112DB" w:rsidRPr="00702E39">
        <w:rPr>
          <w:color w:val="0070C0"/>
        </w:rPr>
        <w:t>aam</w:t>
      </w:r>
      <w:proofErr w:type="spellEnd"/>
      <w:r w:rsidR="008112DB" w:rsidRPr="00702E39">
        <w:rPr>
          <w:color w:val="0070C0"/>
        </w:rPr>
        <w:t>/.</w:t>
      </w:r>
    </w:p>
    <w:p w:rsidR="00F25FC9" w:rsidRDefault="00355A96" w:rsidP="00E241E3">
      <w:pPr>
        <w:tabs>
          <w:tab w:val="left" w:pos="284"/>
        </w:tabs>
        <w:spacing w:line="276" w:lineRule="auto"/>
        <w:jc w:val="both"/>
      </w:pPr>
      <w:r>
        <w:t xml:space="preserve">9.2) </w:t>
      </w:r>
      <w:r w:rsidR="007221EB">
        <w:t>O credenciamento poderá ser cancelado em qualquer fase do processo seletivo, caso seja verificado o não cumprimento dos requisitos exigidos neste edital ou constatada a ocorrência de erro ou fraude na sua elaboração.</w:t>
      </w:r>
    </w:p>
    <w:p w:rsidR="007221EB" w:rsidRDefault="007221EB" w:rsidP="00E241E3">
      <w:pPr>
        <w:tabs>
          <w:tab w:val="left" w:pos="284"/>
        </w:tabs>
        <w:spacing w:line="276" w:lineRule="auto"/>
        <w:jc w:val="both"/>
      </w:pPr>
      <w:r>
        <w:t>9.3) O credenciamento não possui qualquer caráter vinculante, caráter de exclusividade ou mesmo qualquer ordem de preferência ou sequência às instituições financeiras, cujos investimentos e aplicações ocorrerão conforme a necessidade, oportunidade e conveniência do credenciante.</w:t>
      </w:r>
    </w:p>
    <w:p w:rsidR="00964864" w:rsidRDefault="007221EB" w:rsidP="00E241E3">
      <w:pPr>
        <w:tabs>
          <w:tab w:val="left" w:pos="284"/>
        </w:tabs>
        <w:spacing w:line="276" w:lineRule="auto"/>
        <w:jc w:val="both"/>
      </w:pPr>
      <w:r>
        <w:t xml:space="preserve">9.4) Compete aos Conselhos </w:t>
      </w:r>
      <w:r w:rsidR="00964864">
        <w:t>juntamente com o Comitê de Investimentos do HUMAITAPREV a gestão e a fiscalização do presente credenciamento.</w:t>
      </w:r>
    </w:p>
    <w:p w:rsidR="007221EB" w:rsidRDefault="00964864" w:rsidP="00E241E3">
      <w:pPr>
        <w:tabs>
          <w:tab w:val="left" w:pos="284"/>
        </w:tabs>
        <w:spacing w:line="276" w:lineRule="auto"/>
        <w:jc w:val="both"/>
      </w:pPr>
      <w:r>
        <w:t xml:space="preserve">9.5) A credenciada obriga-se a arcar com o pagamento de todos os encargos e demais despesas decorrentes da prestação dos serviços, tais como: emolumentos prescritos e que digam respeito ao serviço; impostos; taxas; contribuições fiscais e </w:t>
      </w:r>
      <w:proofErr w:type="spellStart"/>
      <w:r>
        <w:t>parafiscais</w:t>
      </w:r>
      <w:proofErr w:type="spellEnd"/>
      <w:r>
        <w:t>; trabalhistas; fundiárias; enfim, por todas as obrigações e responsabilidades, por mais especiais que sejam e mesmo que não expressas no presente edital.</w:t>
      </w:r>
    </w:p>
    <w:p w:rsidR="00964864" w:rsidRDefault="00964864" w:rsidP="00E241E3">
      <w:pPr>
        <w:tabs>
          <w:tab w:val="left" w:pos="284"/>
        </w:tabs>
        <w:spacing w:line="276" w:lineRule="auto"/>
        <w:jc w:val="both"/>
      </w:pPr>
      <w:r>
        <w:t>9.6</w:t>
      </w:r>
      <w:proofErr w:type="gramStart"/>
      <w:r>
        <w:t>) Não</w:t>
      </w:r>
      <w:proofErr w:type="gramEnd"/>
      <w:r>
        <w:t xml:space="preserve"> existirá um número mínimo ou máximo de vagas para credenciamento, pois se trata da formação de um banco de credenciados para prestação de serviços para o HUMAITAPREV.</w:t>
      </w:r>
    </w:p>
    <w:p w:rsidR="00964864" w:rsidRDefault="00964864" w:rsidP="00E241E3">
      <w:pPr>
        <w:tabs>
          <w:tab w:val="left" w:pos="284"/>
        </w:tabs>
        <w:spacing w:line="276" w:lineRule="auto"/>
        <w:jc w:val="both"/>
      </w:pPr>
      <w:r>
        <w:t>9.7) O credenciamento não estabelece obrigatoriedade ao HUMAITAPREV de efetuar aplicação no fundo de investimento ou qualquer solicitação de prestação de serviços na instituição credenciada.</w:t>
      </w:r>
    </w:p>
    <w:p w:rsidR="00964864" w:rsidRDefault="00964864" w:rsidP="00E241E3">
      <w:pPr>
        <w:tabs>
          <w:tab w:val="left" w:pos="284"/>
        </w:tabs>
        <w:spacing w:line="276" w:lineRule="auto"/>
        <w:jc w:val="both"/>
      </w:pPr>
      <w:r>
        <w:t>9.8) O credenciamento não gerará qualquer vínculo de natureza trabalhista entre o HUMAITAPREV e o pessoal empregado pela empresa na prestação de serviços.</w:t>
      </w:r>
    </w:p>
    <w:p w:rsidR="00964864" w:rsidRDefault="00964864" w:rsidP="00E241E3">
      <w:pPr>
        <w:tabs>
          <w:tab w:val="left" w:pos="284"/>
        </w:tabs>
        <w:spacing w:line="276" w:lineRule="auto"/>
        <w:jc w:val="both"/>
      </w:pPr>
      <w:r>
        <w:t>9.</w:t>
      </w:r>
      <w:r w:rsidR="002906D5">
        <w:t>9</w:t>
      </w:r>
      <w:r>
        <w:t xml:space="preserve">) Toda </w:t>
      </w:r>
      <w:r w:rsidR="000A18E5">
        <w:t xml:space="preserve">a documentação ficará </w:t>
      </w:r>
      <w:proofErr w:type="spellStart"/>
      <w:proofErr w:type="gramStart"/>
      <w:r w:rsidR="000A18E5">
        <w:t>a</w:t>
      </w:r>
      <w:proofErr w:type="spellEnd"/>
      <w:proofErr w:type="gramEnd"/>
      <w:r w:rsidR="000A18E5">
        <w:t xml:space="preserve"> disposição dos servidores efetivos, segurados e pensionistas, ou para qualquer órgão oficial ou entidade oficial para consulta e/ou fiscalização.</w:t>
      </w:r>
    </w:p>
    <w:p w:rsidR="000A18E5" w:rsidRDefault="000A18E5" w:rsidP="00E241E3">
      <w:pPr>
        <w:tabs>
          <w:tab w:val="left" w:pos="284"/>
        </w:tabs>
        <w:spacing w:line="276" w:lineRule="auto"/>
        <w:jc w:val="both"/>
      </w:pPr>
      <w:r>
        <w:t>9.1</w:t>
      </w:r>
      <w:r w:rsidR="002906D5">
        <w:t>0</w:t>
      </w:r>
      <w:r>
        <w:t xml:space="preserve">) Toda a documentação deverá ser entregue de </w:t>
      </w:r>
      <w:r w:rsidRPr="000A18E5">
        <w:rPr>
          <w:b/>
        </w:rPr>
        <w:t>uma só vez</w:t>
      </w:r>
      <w:r>
        <w:t xml:space="preserve"> quando da solicitação de credenciamento por parte da instituição. Processos de credenciamento iniciados e não concluídos em até 60 (sessenta) dias, serão automaticamente encerrados e a instituição deverá iniciar novo processo de credenciamento junto ao credenciante.</w:t>
      </w:r>
    </w:p>
    <w:p w:rsidR="000A18E5" w:rsidRDefault="002906D5" w:rsidP="00E241E3">
      <w:pPr>
        <w:tabs>
          <w:tab w:val="left" w:pos="284"/>
        </w:tabs>
        <w:spacing w:line="276" w:lineRule="auto"/>
        <w:jc w:val="both"/>
      </w:pPr>
      <w:r>
        <w:t>9.11</w:t>
      </w:r>
      <w:proofErr w:type="gramStart"/>
      <w:r w:rsidR="000A18E5">
        <w:t>) Para</w:t>
      </w:r>
      <w:proofErr w:type="gramEnd"/>
      <w:r w:rsidR="000A18E5">
        <w:t xml:space="preserve"> melhores esclarecimentos quanto ao objeto deste Edital, conta</w:t>
      </w:r>
      <w:r>
        <w:t>c</w:t>
      </w:r>
      <w:r w:rsidR="000A18E5">
        <w:t>tar o HUMAITAPREV pelo fone (97) 3373-2926 no horário das 08:30 às 11:30 e das 14:00 às 17:00 horas, horário local, de segunda a sexta-feira, somente nos dias úteis.</w:t>
      </w:r>
    </w:p>
    <w:p w:rsidR="000A18E5" w:rsidRDefault="000A18E5" w:rsidP="00E241E3">
      <w:pPr>
        <w:tabs>
          <w:tab w:val="left" w:pos="284"/>
        </w:tabs>
        <w:spacing w:line="276" w:lineRule="auto"/>
        <w:jc w:val="both"/>
      </w:pPr>
      <w:r>
        <w:t>9.1</w:t>
      </w:r>
      <w:r w:rsidR="002906D5">
        <w:t>2</w:t>
      </w:r>
      <w:proofErr w:type="gramStart"/>
      <w:r>
        <w:t>) As</w:t>
      </w:r>
      <w:proofErr w:type="gramEnd"/>
      <w:r>
        <w:t xml:space="preserve"> instituições financeiras que mantem relacionamento financeiro com o HUMAITAPREV até a data da publicação deste edital, não estão dispensadas de participar desse processo seletivo de credenciamento.</w:t>
      </w:r>
    </w:p>
    <w:p w:rsidR="000A18E5" w:rsidRDefault="000A18E5" w:rsidP="00E241E3">
      <w:pPr>
        <w:tabs>
          <w:tab w:val="left" w:pos="284"/>
        </w:tabs>
        <w:spacing w:line="276" w:lineRule="auto"/>
        <w:jc w:val="both"/>
      </w:pPr>
      <w:r>
        <w:lastRenderedPageBreak/>
        <w:t xml:space="preserve">9.14) Todos os produtos ofertados deverão estar regulamentados pela CVM – Comissão de Valores Mobiliários e sujeitos </w:t>
      </w:r>
      <w:r w:rsidR="00E241E3">
        <w:t>aos códigos de auto regulação da ANBIMA (Associação Brasileira das Entidades dos Mercados Financeiros e de Capitais).</w:t>
      </w:r>
    </w:p>
    <w:p w:rsidR="00E241E3" w:rsidRDefault="00E241E3" w:rsidP="00E241E3">
      <w:pPr>
        <w:tabs>
          <w:tab w:val="left" w:pos="284"/>
        </w:tabs>
        <w:spacing w:line="276" w:lineRule="auto"/>
        <w:jc w:val="both"/>
      </w:pPr>
      <w:r>
        <w:t>9.15</w:t>
      </w:r>
      <w:proofErr w:type="gramStart"/>
      <w:r>
        <w:t>) Constituem</w:t>
      </w:r>
      <w:proofErr w:type="gramEnd"/>
      <w:r>
        <w:t xml:space="preserve"> anexos do presente edital:</w:t>
      </w:r>
    </w:p>
    <w:p w:rsidR="00E241E3" w:rsidRDefault="00E241E3" w:rsidP="00E241E3">
      <w:pPr>
        <w:tabs>
          <w:tab w:val="left" w:pos="284"/>
        </w:tabs>
        <w:spacing w:line="276" w:lineRule="auto"/>
        <w:jc w:val="both"/>
      </w:pPr>
      <w:r w:rsidRPr="00E241E3">
        <w:rPr>
          <w:b/>
        </w:rPr>
        <w:t>Anexo I</w:t>
      </w:r>
      <w:r>
        <w:t xml:space="preserve"> – Modelo de Cart</w:t>
      </w:r>
      <w:r w:rsidR="002906D5">
        <w:t>a</w:t>
      </w:r>
      <w:r>
        <w:t xml:space="preserve"> de Imunidade Tributária</w:t>
      </w:r>
    </w:p>
    <w:p w:rsidR="00E241E3" w:rsidRDefault="00E241E3" w:rsidP="00E241E3">
      <w:pPr>
        <w:tabs>
          <w:tab w:val="left" w:pos="284"/>
        </w:tabs>
        <w:spacing w:line="276" w:lineRule="auto"/>
        <w:jc w:val="both"/>
      </w:pPr>
      <w:r w:rsidRPr="00E241E3">
        <w:rPr>
          <w:b/>
        </w:rPr>
        <w:t>Anexo II</w:t>
      </w:r>
      <w:r>
        <w:t xml:space="preserve"> – Modelo de Declaração de Idoneidade</w:t>
      </w:r>
    </w:p>
    <w:p w:rsidR="00E241E3" w:rsidRDefault="00E241E3" w:rsidP="00E241E3">
      <w:pPr>
        <w:tabs>
          <w:tab w:val="left" w:pos="284"/>
        </w:tabs>
        <w:spacing w:line="276" w:lineRule="auto"/>
        <w:jc w:val="both"/>
      </w:pPr>
      <w:r w:rsidRPr="00E241E3">
        <w:rPr>
          <w:b/>
        </w:rPr>
        <w:t>Anexo III</w:t>
      </w:r>
      <w:r>
        <w:t xml:space="preserve"> – Modelo de Certificado de Credenciamento de Instituição Financeira</w:t>
      </w:r>
    </w:p>
    <w:p w:rsidR="00E241E3" w:rsidRDefault="00E241E3" w:rsidP="00E241E3">
      <w:pPr>
        <w:tabs>
          <w:tab w:val="left" w:pos="284"/>
        </w:tabs>
        <w:spacing w:line="276" w:lineRule="auto"/>
        <w:jc w:val="both"/>
      </w:pPr>
      <w:r w:rsidRPr="00E241E3">
        <w:rPr>
          <w:b/>
        </w:rPr>
        <w:t>Anexo IV</w:t>
      </w:r>
      <w:r>
        <w:t xml:space="preserve"> – Modelo de Formulário de Inscrição para Credenciamento</w:t>
      </w:r>
    </w:p>
    <w:p w:rsidR="00E241E3" w:rsidRDefault="00E241E3" w:rsidP="00E241E3">
      <w:pPr>
        <w:tabs>
          <w:tab w:val="left" w:pos="284"/>
        </w:tabs>
        <w:spacing w:line="276" w:lineRule="auto"/>
        <w:jc w:val="both"/>
      </w:pPr>
    </w:p>
    <w:p w:rsidR="00E241E3" w:rsidRDefault="00E241E3" w:rsidP="00E241E3">
      <w:pPr>
        <w:tabs>
          <w:tab w:val="left" w:pos="284"/>
        </w:tabs>
        <w:spacing w:line="276" w:lineRule="auto"/>
        <w:jc w:val="right"/>
      </w:pPr>
    </w:p>
    <w:p w:rsidR="00E241E3" w:rsidRDefault="00E241E3" w:rsidP="00E241E3">
      <w:pPr>
        <w:tabs>
          <w:tab w:val="left" w:pos="284"/>
        </w:tabs>
        <w:spacing w:line="276" w:lineRule="auto"/>
        <w:jc w:val="right"/>
      </w:pPr>
      <w:r>
        <w:t xml:space="preserve">Humaitá-AM, </w:t>
      </w:r>
      <w:r w:rsidR="002906D5" w:rsidRPr="002906D5">
        <w:t>18</w:t>
      </w:r>
      <w:r>
        <w:t xml:space="preserve"> de julho de 2017</w:t>
      </w:r>
    </w:p>
    <w:p w:rsidR="00E241E3" w:rsidRDefault="00E241E3" w:rsidP="00E241E3">
      <w:pPr>
        <w:tabs>
          <w:tab w:val="left" w:pos="284"/>
        </w:tabs>
        <w:spacing w:line="276" w:lineRule="auto"/>
        <w:jc w:val="center"/>
      </w:pPr>
    </w:p>
    <w:p w:rsidR="00E241E3" w:rsidRDefault="00E241E3" w:rsidP="00E241E3">
      <w:pPr>
        <w:tabs>
          <w:tab w:val="left" w:pos="284"/>
        </w:tabs>
        <w:spacing w:line="276" w:lineRule="auto"/>
        <w:jc w:val="center"/>
      </w:pPr>
    </w:p>
    <w:p w:rsidR="00E241E3" w:rsidRDefault="00E241E3" w:rsidP="00E241E3">
      <w:pPr>
        <w:tabs>
          <w:tab w:val="left" w:pos="284"/>
        </w:tabs>
        <w:spacing w:line="276" w:lineRule="auto"/>
        <w:jc w:val="center"/>
      </w:pPr>
    </w:p>
    <w:p w:rsidR="00E241E3" w:rsidRDefault="00E241E3" w:rsidP="00E241E3">
      <w:pPr>
        <w:tabs>
          <w:tab w:val="left" w:pos="284"/>
        </w:tabs>
        <w:spacing w:line="276" w:lineRule="auto"/>
        <w:jc w:val="center"/>
      </w:pPr>
    </w:p>
    <w:p w:rsidR="00E241E3" w:rsidRPr="00E241E3" w:rsidRDefault="00E241E3" w:rsidP="00E241E3">
      <w:pPr>
        <w:tabs>
          <w:tab w:val="left" w:pos="284"/>
        </w:tabs>
        <w:spacing w:line="276" w:lineRule="auto"/>
        <w:jc w:val="center"/>
        <w:rPr>
          <w:b/>
        </w:rPr>
      </w:pPr>
      <w:r w:rsidRPr="00E241E3">
        <w:rPr>
          <w:b/>
        </w:rPr>
        <w:t>Raimundo Alves de Aguiar</w:t>
      </w:r>
    </w:p>
    <w:p w:rsidR="00E241E3" w:rsidRPr="00E241E3" w:rsidRDefault="00E241E3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  <w:r w:rsidRPr="00E241E3">
        <w:rPr>
          <w:sz w:val="20"/>
          <w:szCs w:val="20"/>
        </w:rPr>
        <w:t>Superintendente</w:t>
      </w:r>
    </w:p>
    <w:p w:rsidR="00E241E3" w:rsidRDefault="00E241E3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  <w:r w:rsidRPr="00E241E3">
        <w:rPr>
          <w:sz w:val="20"/>
          <w:szCs w:val="20"/>
        </w:rPr>
        <w:t>Dec. nº 103/2016-GAB. PREF.</w:t>
      </w: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Default="00373D57" w:rsidP="00E241E3">
      <w:pPr>
        <w:tabs>
          <w:tab w:val="left" w:pos="284"/>
        </w:tabs>
        <w:spacing w:line="276" w:lineRule="auto"/>
        <w:jc w:val="center"/>
        <w:rPr>
          <w:sz w:val="20"/>
          <w:szCs w:val="20"/>
        </w:rPr>
      </w:pPr>
    </w:p>
    <w:p w:rsidR="00373D57" w:rsidRPr="0090657D" w:rsidRDefault="00373D57" w:rsidP="00E241E3">
      <w:pPr>
        <w:tabs>
          <w:tab w:val="left" w:pos="284"/>
        </w:tabs>
        <w:spacing w:line="276" w:lineRule="auto"/>
        <w:jc w:val="center"/>
        <w:rPr>
          <w:b/>
        </w:rPr>
      </w:pPr>
      <w:r w:rsidRPr="0090657D">
        <w:rPr>
          <w:b/>
        </w:rPr>
        <w:t>ANEXO I</w:t>
      </w:r>
    </w:p>
    <w:p w:rsidR="00373D57" w:rsidRPr="0090657D" w:rsidRDefault="0090657D" w:rsidP="00E241E3">
      <w:pPr>
        <w:tabs>
          <w:tab w:val="left" w:pos="284"/>
        </w:tabs>
        <w:spacing w:line="276" w:lineRule="auto"/>
        <w:jc w:val="center"/>
      </w:pPr>
      <w:r>
        <w:t>(</w:t>
      </w:r>
      <w:r w:rsidR="00373D57" w:rsidRPr="0090657D">
        <w:t>MODELO DE CARTA IMUNIDADE TRIBUTARIA</w:t>
      </w:r>
      <w:r>
        <w:t>)</w:t>
      </w:r>
    </w:p>
    <w:p w:rsidR="00373D57" w:rsidRPr="0090657D" w:rsidRDefault="00373D57" w:rsidP="00E241E3">
      <w:pPr>
        <w:tabs>
          <w:tab w:val="left" w:pos="284"/>
        </w:tabs>
        <w:spacing w:line="276" w:lineRule="auto"/>
        <w:jc w:val="center"/>
      </w:pP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Data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Ao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HUMAITAPREV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A/C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Diretoria do Comitê de Investimentos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  <w:r w:rsidRPr="0090657D">
        <w:t>Av. 5 de Setembro, nº 348 – CENTRO</w:t>
      </w:r>
    </w:p>
    <w:p w:rsidR="00373D57" w:rsidRPr="0090657D" w:rsidRDefault="00373D57" w:rsidP="00373D57">
      <w:pPr>
        <w:tabs>
          <w:tab w:val="left" w:pos="284"/>
        </w:tabs>
        <w:spacing w:line="276" w:lineRule="auto"/>
      </w:pP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</w:pPr>
      <w:proofErr w:type="gramStart"/>
      <w:r w:rsidRPr="0090657D">
        <w:t>Senhor(</w:t>
      </w:r>
      <w:proofErr w:type="gramEnd"/>
      <w:r w:rsidRPr="0090657D">
        <w:t>a) Diretor(a)</w:t>
      </w: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</w:pP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>Informamos que esta Instituição Financeira reconhece a abrangência da Imunidade Tributária do RPPS, e que não irá reter tributos sobre suas aplicações financeiras, dada a natureza publica dos recursos geridos pelo _______________________</w:t>
      </w:r>
      <w:r w:rsidR="0090657D">
        <w:t>__________________</w:t>
      </w:r>
      <w:r w:rsidRPr="0090657D">
        <w:t>.</w:t>
      </w: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 xml:space="preserve">Solicitamos que o RPPS, por intermédio da Diretoria Executiva que informe qualquer modificação que possa levar a um eventual </w:t>
      </w:r>
      <w:proofErr w:type="spellStart"/>
      <w:r w:rsidRPr="0090657D">
        <w:t>desenquadramento</w:t>
      </w:r>
      <w:proofErr w:type="spellEnd"/>
      <w:r w:rsidRPr="0090657D">
        <w:t xml:space="preserve"> da atual condição.</w:t>
      </w:r>
    </w:p>
    <w:p w:rsidR="00373D57" w:rsidRPr="0090657D" w:rsidRDefault="00373D57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 xml:space="preserve">Ressaltamos, que, na hipótese de entendimento contraditório da Receita </w:t>
      </w:r>
      <w:r w:rsidR="00CD7AA2" w:rsidRPr="0090657D">
        <w:t>F</w:t>
      </w:r>
      <w:r w:rsidRPr="0090657D">
        <w:t>e</w:t>
      </w:r>
      <w:r w:rsidR="00CD7AA2" w:rsidRPr="0090657D">
        <w:t>d</w:t>
      </w:r>
      <w:r w:rsidRPr="0090657D">
        <w:t xml:space="preserve">eral do Brasil acerca da Imunidade </w:t>
      </w:r>
      <w:proofErr w:type="spellStart"/>
      <w:r w:rsidRPr="0090657D">
        <w:t>Tributaria</w:t>
      </w:r>
      <w:proofErr w:type="spellEnd"/>
      <w:r w:rsidRPr="0090657D">
        <w:t xml:space="preserve">, o RPPS deverá arcar, na condição de contribuinte, com os valores eventualmente devidos, após </w:t>
      </w:r>
      <w:r w:rsidR="00CD7AA2" w:rsidRPr="0090657D">
        <w:t>esgotadas todas as medidas administrativas/judiciais cabíveis.</w:t>
      </w: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>Atenciosamente,</w:t>
      </w: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  <w:r w:rsidRPr="0090657D">
        <w:t>(Representante legal da Instituição Financeira com firma reconhecida)</w:t>
      </w: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90657D" w:rsidRPr="0090657D" w:rsidRDefault="0090657D" w:rsidP="0090657D">
      <w:pPr>
        <w:tabs>
          <w:tab w:val="left" w:pos="284"/>
        </w:tabs>
        <w:spacing w:line="276" w:lineRule="auto"/>
        <w:jc w:val="center"/>
        <w:rPr>
          <w:b/>
        </w:rPr>
      </w:pPr>
      <w:r w:rsidRPr="0090657D">
        <w:rPr>
          <w:b/>
        </w:rPr>
        <w:t>ANEXO I</w:t>
      </w:r>
      <w:r>
        <w:rPr>
          <w:b/>
        </w:rPr>
        <w:t>I</w:t>
      </w:r>
    </w:p>
    <w:p w:rsidR="0090657D" w:rsidRPr="0090657D" w:rsidRDefault="0090657D" w:rsidP="0090657D">
      <w:pPr>
        <w:tabs>
          <w:tab w:val="left" w:pos="284"/>
        </w:tabs>
        <w:spacing w:line="276" w:lineRule="auto"/>
        <w:jc w:val="center"/>
      </w:pPr>
      <w:r>
        <w:t>(</w:t>
      </w:r>
      <w:r w:rsidRPr="0090657D">
        <w:t xml:space="preserve">MODELO DE </w:t>
      </w:r>
      <w:r>
        <w:t>DECLARAÇÃO DE IDONEIDADE)</w:t>
      </w:r>
    </w:p>
    <w:p w:rsidR="00CD7AA2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Default="0090657D" w:rsidP="00373D57">
      <w:pPr>
        <w:tabs>
          <w:tab w:val="left" w:pos="284"/>
        </w:tabs>
        <w:spacing w:line="276" w:lineRule="auto"/>
        <w:ind w:firstLine="1134"/>
        <w:jc w:val="both"/>
      </w:pPr>
      <w:r>
        <w:t>Eu, _____________________________________, representante legal da empresa ______________________________________________ declaro que:</w:t>
      </w:r>
    </w:p>
    <w:p w:rsidR="0090657D" w:rsidRDefault="0090657D" w:rsidP="0090657D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1134"/>
        <w:jc w:val="both"/>
      </w:pPr>
      <w:r>
        <w:t xml:space="preserve">A Instituição Financeira não se encontra impedida, nem suspensa, nem fomos declarados inidôneos para participar de licitações, ou contratos com o poder </w:t>
      </w:r>
      <w:proofErr w:type="spellStart"/>
      <w:r>
        <w:t>publico</w:t>
      </w:r>
      <w:proofErr w:type="spellEnd"/>
      <w:r>
        <w:t>;</w:t>
      </w:r>
    </w:p>
    <w:p w:rsidR="0090657D" w:rsidRDefault="0090657D" w:rsidP="0090657D">
      <w:pPr>
        <w:pStyle w:val="PargrafodaLista"/>
        <w:numPr>
          <w:ilvl w:val="0"/>
          <w:numId w:val="8"/>
        </w:numPr>
        <w:tabs>
          <w:tab w:val="left" w:pos="284"/>
        </w:tabs>
        <w:spacing w:line="276" w:lineRule="auto"/>
        <w:ind w:left="0" w:firstLine="1134"/>
        <w:jc w:val="both"/>
      </w:pPr>
      <w:r>
        <w:t>Informarei, sob as penalidades cabíveis, a superveniência de fato impeditivo ou suspensivo da manutenção do Credenciamento.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  <w:r>
        <w:t>Local e data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  <w:r w:rsidRPr="0090657D">
        <w:t>(Representante legal da Instituição Financeira com firma reconhecida)</w:t>
      </w: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CD7AA2" w:rsidRPr="0090657D" w:rsidRDefault="00CD7AA2" w:rsidP="00373D57">
      <w:pPr>
        <w:tabs>
          <w:tab w:val="left" w:pos="284"/>
        </w:tabs>
        <w:spacing w:line="276" w:lineRule="auto"/>
        <w:ind w:firstLine="1134"/>
        <w:jc w:val="both"/>
      </w:pPr>
    </w:p>
    <w:p w:rsidR="00373D57" w:rsidRDefault="00373D57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jc w:val="center"/>
        <w:rPr>
          <w:b/>
        </w:rPr>
      </w:pPr>
      <w:r w:rsidRPr="0090657D">
        <w:rPr>
          <w:b/>
        </w:rPr>
        <w:t>ANEXO I</w:t>
      </w:r>
      <w:r>
        <w:rPr>
          <w:b/>
        </w:rPr>
        <w:t>II</w:t>
      </w:r>
    </w:p>
    <w:p w:rsidR="00826FF6" w:rsidRPr="0090657D" w:rsidRDefault="00826FF6" w:rsidP="00826FF6">
      <w:pPr>
        <w:tabs>
          <w:tab w:val="left" w:pos="284"/>
        </w:tabs>
        <w:spacing w:line="276" w:lineRule="auto"/>
        <w:jc w:val="center"/>
      </w:pPr>
      <w:r>
        <w:t>(</w:t>
      </w:r>
      <w:r w:rsidRPr="00826FF6">
        <w:rPr>
          <w:sz w:val="22"/>
          <w:szCs w:val="22"/>
        </w:rPr>
        <w:t>MODELO DE CERTIFICADO DE CREDENCIAMENTO DA INSTITUIÇÃO FINANCEIRA</w:t>
      </w:r>
      <w:r>
        <w:t>)</w:t>
      </w:r>
    </w:p>
    <w:p w:rsidR="00826FF6" w:rsidRPr="00826FF6" w:rsidRDefault="00826FF6" w:rsidP="00826FF6">
      <w:pPr>
        <w:tabs>
          <w:tab w:val="left" w:pos="284"/>
        </w:tabs>
        <w:spacing w:line="276" w:lineRule="auto"/>
        <w:jc w:val="center"/>
        <w:rPr>
          <w:b/>
        </w:rPr>
      </w:pPr>
      <w:r w:rsidRPr="00826FF6">
        <w:rPr>
          <w:b/>
        </w:rPr>
        <w:t>(</w:t>
      </w:r>
      <w:proofErr w:type="gramStart"/>
      <w:r w:rsidRPr="00826FF6">
        <w:rPr>
          <w:b/>
        </w:rPr>
        <w:t>emissão</w:t>
      </w:r>
      <w:proofErr w:type="gramEnd"/>
      <w:r w:rsidRPr="00826FF6">
        <w:rPr>
          <w:b/>
        </w:rPr>
        <w:t xml:space="preserve"> pelo superintendente do RPPS)</w:t>
      </w: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  <w:r>
        <w:t>O RPPS certifica, nos termos da Resolução do CMN nº 3.922/2010 e do Edital de Credenciamento, que a ____________________________ (instituição), apresentou a documentação solicitadas, a qual foi analisada, aprovada, e é considerada credenciada junto ao RPPS, para a possível alocação de recursos financeiros do Regime Próprio pelo prazo de 06 (seis) meses.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  <w:r>
        <w:t>O presente Certificado de Credenciamento não gera, para o RPPS, quaisquer obrigações de alocar seus recursos, contratar ou aplicar junto à _____________________ (instituição), mas somente o direito a participar do Banco de Dados de entidades credenciadas, ou seja, consideradas aptas a receberem os recursos financeiros do RPPS.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  <w:r>
        <w:t>Local e data</w:t>
      </w: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  <w:r w:rsidRPr="0090657D">
        <w:t>(Representante legal da Instituição Financeira com firma reconhecida)</w:t>
      </w:r>
    </w:p>
    <w:p w:rsidR="00826FF6" w:rsidRPr="0090657D" w:rsidRDefault="00826FF6" w:rsidP="00826FF6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447A03" w:rsidRDefault="00447A03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373D57">
      <w:pPr>
        <w:tabs>
          <w:tab w:val="left" w:pos="284"/>
        </w:tabs>
        <w:spacing w:line="276" w:lineRule="auto"/>
        <w:ind w:firstLine="1134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both"/>
      </w:pPr>
    </w:p>
    <w:p w:rsidR="00826FF6" w:rsidRDefault="00826FF6" w:rsidP="00826FF6">
      <w:pPr>
        <w:tabs>
          <w:tab w:val="left" w:pos="284"/>
        </w:tabs>
        <w:spacing w:line="276" w:lineRule="auto"/>
        <w:jc w:val="center"/>
        <w:rPr>
          <w:b/>
        </w:rPr>
      </w:pPr>
      <w:r w:rsidRPr="0090657D">
        <w:rPr>
          <w:b/>
        </w:rPr>
        <w:lastRenderedPageBreak/>
        <w:t>ANEXO I</w:t>
      </w:r>
      <w:r>
        <w:rPr>
          <w:b/>
        </w:rPr>
        <w:t>V</w:t>
      </w:r>
    </w:p>
    <w:p w:rsidR="0096686A" w:rsidRPr="0090657D" w:rsidRDefault="0096686A" w:rsidP="00826FF6">
      <w:pPr>
        <w:tabs>
          <w:tab w:val="left" w:pos="284"/>
        </w:tabs>
        <w:spacing w:line="276" w:lineRule="auto"/>
        <w:jc w:val="center"/>
        <w:rPr>
          <w:b/>
        </w:rPr>
      </w:pPr>
    </w:p>
    <w:p w:rsidR="00107C8C" w:rsidRPr="00687225" w:rsidRDefault="00107C8C" w:rsidP="00107C8C">
      <w:pPr>
        <w:tabs>
          <w:tab w:val="left" w:pos="284"/>
        </w:tabs>
        <w:spacing w:line="276" w:lineRule="auto"/>
        <w:jc w:val="center"/>
        <w:rPr>
          <w:b/>
        </w:rPr>
      </w:pPr>
      <w:r w:rsidRPr="00687225">
        <w:rPr>
          <w:b/>
        </w:rPr>
        <w:t>FORMULARIO DE INSCRIÇÃO PARA O CREDENCIAMENTO</w:t>
      </w:r>
    </w:p>
    <w:p w:rsidR="00107C8C" w:rsidRDefault="00107C8C" w:rsidP="00107C8C">
      <w:pPr>
        <w:tabs>
          <w:tab w:val="left" w:pos="284"/>
        </w:tabs>
        <w:spacing w:line="276" w:lineRule="auto"/>
      </w:pPr>
    </w:p>
    <w:p w:rsidR="0096686A" w:rsidRDefault="0096686A" w:rsidP="00107C8C">
      <w:pPr>
        <w:tabs>
          <w:tab w:val="left" w:pos="284"/>
        </w:tabs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2553"/>
        <w:gridCol w:w="1978"/>
      </w:tblGrid>
      <w:tr w:rsidR="00687225" w:rsidTr="00687225">
        <w:tc>
          <w:tcPr>
            <w:tcW w:w="9061" w:type="dxa"/>
            <w:gridSpan w:val="3"/>
            <w:shd w:val="clear" w:color="auto" w:fill="D9D9D9" w:themeFill="background1" w:themeFillShade="D9"/>
          </w:tcPr>
          <w:p w:rsidR="00687225" w:rsidRPr="00687225" w:rsidRDefault="00687225" w:rsidP="00687225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171" w:hanging="171"/>
              <w:rPr>
                <w:b/>
              </w:rPr>
            </w:pPr>
            <w:r w:rsidRPr="00687225">
              <w:rPr>
                <w:b/>
              </w:rPr>
              <w:t>Informações Institucionais</w:t>
            </w:r>
          </w:p>
        </w:tc>
      </w:tr>
      <w:tr w:rsidR="00687225" w:rsidTr="00687225">
        <w:tc>
          <w:tcPr>
            <w:tcW w:w="9061" w:type="dxa"/>
            <w:gridSpan w:val="3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Entidade Credenciada:</w:t>
            </w:r>
          </w:p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687225" w:rsidTr="00687225">
        <w:tc>
          <w:tcPr>
            <w:tcW w:w="7083" w:type="dxa"/>
            <w:gridSpan w:val="2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CNPJ:</w:t>
            </w:r>
          </w:p>
          <w:p w:rsid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978" w:type="dxa"/>
          </w:tcPr>
          <w:p w:rsid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Início das Atividades:</w:t>
            </w:r>
          </w:p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687225" w:rsidTr="00687225">
        <w:tc>
          <w:tcPr>
            <w:tcW w:w="9061" w:type="dxa"/>
            <w:gridSpan w:val="3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Completo:</w:t>
            </w:r>
          </w:p>
          <w:p w:rsid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687225" w:rsidTr="00687225">
        <w:tc>
          <w:tcPr>
            <w:tcW w:w="4530" w:type="dxa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 w:rsidRPr="00687225">
              <w:rPr>
                <w:sz w:val="16"/>
                <w:szCs w:val="16"/>
              </w:rPr>
              <w:t>Home Page:</w:t>
            </w:r>
          </w:p>
          <w:p w:rsid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531" w:type="dxa"/>
            <w:gridSpan w:val="2"/>
          </w:tcPr>
          <w:p w:rsidR="00687225" w:rsidRPr="00687225" w:rsidRDefault="00687225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 institucional:</w:t>
            </w:r>
          </w:p>
          <w:p w:rsidR="00687225" w:rsidRDefault="00687225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E65B0E">
        <w:tc>
          <w:tcPr>
            <w:tcW w:w="9061" w:type="dxa"/>
            <w:gridSpan w:val="3"/>
          </w:tcPr>
          <w:p w:rsidR="00E65B0E" w:rsidRPr="00E65B0E" w:rsidRDefault="00E65B0E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Financeira:</w:t>
            </w:r>
          </w:p>
          <w:p w:rsidR="00E65B0E" w:rsidRDefault="00E65B0E" w:rsidP="00107C8C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RPr="00687225" w:rsidTr="007664B7">
        <w:tc>
          <w:tcPr>
            <w:tcW w:w="7083" w:type="dxa"/>
            <w:gridSpan w:val="2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978" w:type="dxa"/>
          </w:tcPr>
          <w:p w:rsidR="00E65B0E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Início das Atividades:</w:t>
            </w:r>
          </w:p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9061" w:type="dxa"/>
            <w:gridSpan w:val="3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Completo: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4530" w:type="dxa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 w:rsidRPr="00687225">
              <w:rPr>
                <w:sz w:val="16"/>
                <w:szCs w:val="16"/>
              </w:rPr>
              <w:t>Home Page: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531" w:type="dxa"/>
            <w:gridSpan w:val="2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 institucional: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9061" w:type="dxa"/>
            <w:gridSpan w:val="3"/>
          </w:tcPr>
          <w:p w:rsidR="00E65B0E" w:rsidRPr="00E65B0E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Fundo de Investimento: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RPr="00687225" w:rsidTr="007664B7">
        <w:tc>
          <w:tcPr>
            <w:tcW w:w="7083" w:type="dxa"/>
            <w:gridSpan w:val="2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978" w:type="dxa"/>
          </w:tcPr>
          <w:p w:rsidR="00E65B0E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Início das Atividades:</w:t>
            </w:r>
          </w:p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9061" w:type="dxa"/>
            <w:gridSpan w:val="3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 Completo: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  <w:tr w:rsidR="00E65B0E" w:rsidTr="007664B7">
        <w:tc>
          <w:tcPr>
            <w:tcW w:w="4530" w:type="dxa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 w:rsidRPr="00687225">
              <w:rPr>
                <w:sz w:val="16"/>
                <w:szCs w:val="16"/>
              </w:rPr>
              <w:t>Home Page: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531" w:type="dxa"/>
            <w:gridSpan w:val="2"/>
          </w:tcPr>
          <w:p w:rsidR="00E65B0E" w:rsidRPr="00687225" w:rsidRDefault="00E65B0E" w:rsidP="007664B7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 institucional:</w:t>
            </w:r>
          </w:p>
          <w:p w:rsidR="00E65B0E" w:rsidRDefault="00E65B0E" w:rsidP="007664B7">
            <w:pPr>
              <w:tabs>
                <w:tab w:val="left" w:pos="284"/>
              </w:tabs>
              <w:spacing w:line="276" w:lineRule="auto"/>
            </w:pPr>
          </w:p>
        </w:tc>
      </w:tr>
    </w:tbl>
    <w:p w:rsidR="00107C8C" w:rsidRDefault="00107C8C" w:rsidP="00107C8C">
      <w:pPr>
        <w:tabs>
          <w:tab w:val="left" w:pos="284"/>
        </w:tabs>
        <w:spacing w:line="276" w:lineRule="auto"/>
      </w:pPr>
    </w:p>
    <w:p w:rsidR="0096686A" w:rsidRDefault="0096686A" w:rsidP="00107C8C">
      <w:pPr>
        <w:tabs>
          <w:tab w:val="left" w:pos="284"/>
        </w:tabs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707"/>
        <w:gridCol w:w="1135"/>
        <w:gridCol w:w="1418"/>
        <w:gridCol w:w="1978"/>
      </w:tblGrid>
      <w:tr w:rsidR="00DF0310" w:rsidTr="00DF0310">
        <w:tc>
          <w:tcPr>
            <w:tcW w:w="9061" w:type="dxa"/>
            <w:gridSpan w:val="6"/>
            <w:shd w:val="clear" w:color="auto" w:fill="D9D9D9" w:themeFill="background1" w:themeFillShade="D9"/>
          </w:tcPr>
          <w:p w:rsidR="00DF0310" w:rsidRPr="00687225" w:rsidRDefault="00DF0310" w:rsidP="00DF0310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171" w:hanging="171"/>
              <w:rPr>
                <w:b/>
              </w:rPr>
            </w:pPr>
            <w:r>
              <w:rPr>
                <w:b/>
              </w:rPr>
              <w:t>Representante Legal</w:t>
            </w:r>
          </w:p>
        </w:tc>
      </w:tr>
      <w:tr w:rsidR="00DF0310" w:rsidTr="00A64F93">
        <w:tc>
          <w:tcPr>
            <w:tcW w:w="9061" w:type="dxa"/>
            <w:gridSpan w:val="6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</w:pPr>
            <w:r w:rsidRPr="00DF0310">
              <w:t>Nome:</w:t>
            </w:r>
          </w:p>
        </w:tc>
      </w:tr>
      <w:tr w:rsidR="00DF0310" w:rsidTr="00DF0310">
        <w:tc>
          <w:tcPr>
            <w:tcW w:w="3823" w:type="dxa"/>
            <w:gridSpan w:val="2"/>
          </w:tcPr>
          <w:p w:rsidR="00DF0310" w:rsidRPr="00DF0310" w:rsidRDefault="00DF0310" w:rsidP="005060E3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Nome:</w:t>
            </w:r>
          </w:p>
          <w:p w:rsidR="00DF0310" w:rsidRDefault="00DF0310" w:rsidP="005060E3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842" w:type="dxa"/>
            <w:gridSpan w:val="2"/>
          </w:tcPr>
          <w:p w:rsidR="00DF0310" w:rsidRPr="00DF0310" w:rsidRDefault="00DF0310" w:rsidP="005060E3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RG:</w:t>
            </w:r>
          </w:p>
          <w:p w:rsidR="00DF0310" w:rsidRDefault="00DF0310" w:rsidP="005060E3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3396" w:type="dxa"/>
            <w:gridSpan w:val="2"/>
          </w:tcPr>
          <w:p w:rsidR="00DF0310" w:rsidRPr="00DF0310" w:rsidRDefault="00DF0310" w:rsidP="005060E3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Profissão:</w:t>
            </w:r>
          </w:p>
          <w:p w:rsidR="00DF0310" w:rsidRDefault="00DF0310" w:rsidP="005060E3">
            <w:pPr>
              <w:tabs>
                <w:tab w:val="left" w:pos="284"/>
              </w:tabs>
              <w:spacing w:line="276" w:lineRule="auto"/>
            </w:pPr>
          </w:p>
        </w:tc>
      </w:tr>
      <w:tr w:rsidR="00DF0310" w:rsidTr="00DF0310">
        <w:tc>
          <w:tcPr>
            <w:tcW w:w="7083" w:type="dxa"/>
            <w:gridSpan w:val="5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Endereço:</w:t>
            </w:r>
          </w:p>
          <w:p w:rsidR="00DF0310" w:rsidRDefault="00DF0310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1978" w:type="dxa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CEP:</w:t>
            </w:r>
          </w:p>
        </w:tc>
      </w:tr>
      <w:tr w:rsidR="00DF0310" w:rsidTr="00DF0310">
        <w:tc>
          <w:tcPr>
            <w:tcW w:w="3256" w:type="dxa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 Civil:</w:t>
            </w:r>
          </w:p>
          <w:p w:rsidR="00DF0310" w:rsidRDefault="00DF0310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5805" w:type="dxa"/>
            <w:gridSpan w:val="5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 que ocupa na Instituição:</w:t>
            </w:r>
          </w:p>
        </w:tc>
      </w:tr>
      <w:tr w:rsidR="00DF0310" w:rsidTr="00DF0310">
        <w:tc>
          <w:tcPr>
            <w:tcW w:w="4530" w:type="dxa"/>
            <w:gridSpan w:val="3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 Comercial:</w:t>
            </w:r>
          </w:p>
          <w:p w:rsidR="00DF0310" w:rsidRDefault="00DF0310" w:rsidP="00107C8C">
            <w:pPr>
              <w:tabs>
                <w:tab w:val="left" w:pos="284"/>
              </w:tabs>
              <w:spacing w:line="276" w:lineRule="auto"/>
            </w:pPr>
          </w:p>
        </w:tc>
        <w:tc>
          <w:tcPr>
            <w:tcW w:w="4531" w:type="dxa"/>
            <w:gridSpan w:val="3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Celular:</w:t>
            </w:r>
          </w:p>
        </w:tc>
      </w:tr>
      <w:tr w:rsidR="00DF0310" w:rsidTr="000933E3">
        <w:tc>
          <w:tcPr>
            <w:tcW w:w="9061" w:type="dxa"/>
            <w:gridSpan w:val="6"/>
          </w:tcPr>
          <w:p w:rsidR="00DF0310" w:rsidRPr="00DF0310" w:rsidRDefault="00DF0310" w:rsidP="00107C8C">
            <w:pPr>
              <w:tabs>
                <w:tab w:val="left" w:pos="284"/>
              </w:tabs>
              <w:spacing w:line="276" w:lineRule="auto"/>
            </w:pPr>
            <w:r>
              <w:t>e-mail:</w:t>
            </w:r>
          </w:p>
        </w:tc>
      </w:tr>
    </w:tbl>
    <w:p w:rsidR="00107C8C" w:rsidRDefault="00107C8C" w:rsidP="00107C8C">
      <w:pPr>
        <w:tabs>
          <w:tab w:val="left" w:pos="284"/>
        </w:tabs>
        <w:spacing w:line="276" w:lineRule="auto"/>
      </w:pPr>
    </w:p>
    <w:p w:rsidR="0096686A" w:rsidRDefault="0096686A" w:rsidP="00107C8C">
      <w:pPr>
        <w:tabs>
          <w:tab w:val="left" w:pos="284"/>
        </w:tabs>
        <w:spacing w:line="276" w:lineRule="auto"/>
      </w:pPr>
    </w:p>
    <w:p w:rsidR="0096686A" w:rsidRDefault="0096686A" w:rsidP="00107C8C">
      <w:pPr>
        <w:tabs>
          <w:tab w:val="left" w:pos="284"/>
        </w:tabs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553"/>
      </w:tblGrid>
      <w:tr w:rsidR="0096686A" w:rsidTr="0096686A">
        <w:tc>
          <w:tcPr>
            <w:tcW w:w="9061" w:type="dxa"/>
            <w:gridSpan w:val="5"/>
            <w:shd w:val="clear" w:color="auto" w:fill="D9D9D9" w:themeFill="background1" w:themeFillShade="D9"/>
          </w:tcPr>
          <w:p w:rsidR="0096686A" w:rsidRPr="00687225" w:rsidRDefault="0096686A" w:rsidP="0096686A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171" w:hanging="171"/>
              <w:rPr>
                <w:b/>
              </w:rPr>
            </w:pPr>
            <w:r>
              <w:rPr>
                <w:b/>
              </w:rPr>
              <w:lastRenderedPageBreak/>
              <w:t>Gestão/Administração de Recursos Administrados de RPPS – Renda Fixa</w:t>
            </w: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2906D5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F</w:t>
            </w:r>
            <w:r w:rsidR="002906D5">
              <w:rPr>
                <w:sz w:val="20"/>
                <w:szCs w:val="20"/>
              </w:rPr>
              <w:t>u</w:t>
            </w:r>
            <w:r w:rsidRPr="0096686A">
              <w:rPr>
                <w:sz w:val="20"/>
                <w:szCs w:val="20"/>
              </w:rPr>
              <w:t>ndos de Investimentos</w:t>
            </w: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Enquadramento legal Resolução 3.922/10</w:t>
            </w: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Taxa de Administração (%)</w:t>
            </w: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Média de Rentabilidade Anual (%)</w:t>
            </w: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PL do Fundo (R$)</w:t>
            </w: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Tr="0096686A">
        <w:tc>
          <w:tcPr>
            <w:tcW w:w="3114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107C8C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CE1CAB" w:rsidRDefault="00CE1CAB" w:rsidP="00107C8C">
      <w:pPr>
        <w:tabs>
          <w:tab w:val="left" w:pos="284"/>
        </w:tabs>
        <w:spacing w:line="276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  <w:gridCol w:w="1553"/>
      </w:tblGrid>
      <w:tr w:rsidR="0096686A" w:rsidRPr="00687225" w:rsidTr="005060E3">
        <w:tc>
          <w:tcPr>
            <w:tcW w:w="9061" w:type="dxa"/>
            <w:gridSpan w:val="5"/>
            <w:shd w:val="clear" w:color="auto" w:fill="D9D9D9" w:themeFill="background1" w:themeFillShade="D9"/>
          </w:tcPr>
          <w:p w:rsidR="0096686A" w:rsidRPr="00687225" w:rsidRDefault="0096686A" w:rsidP="005060E3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171" w:hanging="171"/>
              <w:rPr>
                <w:b/>
              </w:rPr>
            </w:pPr>
            <w:r>
              <w:rPr>
                <w:b/>
              </w:rPr>
              <w:t>Gestão/Administração de Recursos Administrados de RPPS – Renda Variável</w:t>
            </w: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2906D5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F</w:t>
            </w:r>
            <w:r w:rsidR="002906D5">
              <w:rPr>
                <w:sz w:val="20"/>
                <w:szCs w:val="20"/>
              </w:rPr>
              <w:t>u</w:t>
            </w:r>
            <w:r w:rsidRPr="0096686A">
              <w:rPr>
                <w:sz w:val="20"/>
                <w:szCs w:val="20"/>
              </w:rPr>
              <w:t>ndos de Investimentos</w:t>
            </w:r>
          </w:p>
        </w:tc>
        <w:tc>
          <w:tcPr>
            <w:tcW w:w="1559" w:type="dxa"/>
            <w:vAlign w:val="center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Enquadramento legal Resolução 3.922/10</w:t>
            </w:r>
          </w:p>
        </w:tc>
        <w:tc>
          <w:tcPr>
            <w:tcW w:w="1418" w:type="dxa"/>
            <w:vAlign w:val="center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Taxa de Administração (%)</w:t>
            </w:r>
          </w:p>
        </w:tc>
        <w:tc>
          <w:tcPr>
            <w:tcW w:w="1417" w:type="dxa"/>
            <w:vAlign w:val="center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Média de Rentabilidade Anual (%)</w:t>
            </w:r>
          </w:p>
        </w:tc>
        <w:tc>
          <w:tcPr>
            <w:tcW w:w="1553" w:type="dxa"/>
            <w:vAlign w:val="center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6686A">
              <w:rPr>
                <w:sz w:val="20"/>
                <w:szCs w:val="20"/>
              </w:rPr>
              <w:t>PL do Fundo (R$)</w:t>
            </w: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5060E3">
        <w:tc>
          <w:tcPr>
            <w:tcW w:w="3114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96686A" w:rsidRPr="0096686A" w:rsidRDefault="0096686A" w:rsidP="0096686A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  <w:tr w:rsidR="0096686A" w:rsidRPr="0096686A" w:rsidTr="0096686A">
        <w:tc>
          <w:tcPr>
            <w:tcW w:w="3114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96686A" w:rsidRPr="0096686A" w:rsidRDefault="0096686A" w:rsidP="005060E3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96686A" w:rsidRPr="0090657D" w:rsidRDefault="0096686A" w:rsidP="00107C8C">
      <w:pPr>
        <w:tabs>
          <w:tab w:val="left" w:pos="284"/>
        </w:tabs>
        <w:spacing w:line="276" w:lineRule="auto"/>
      </w:pPr>
    </w:p>
    <w:sectPr w:rsidR="0096686A" w:rsidRPr="0090657D" w:rsidSect="00172D5D">
      <w:headerReference w:type="default" r:id="rId8"/>
      <w:footerReference w:type="default" r:id="rId9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D9" w:rsidRDefault="00A61AD9" w:rsidP="005C34FB">
      <w:r>
        <w:separator/>
      </w:r>
    </w:p>
  </w:endnote>
  <w:endnote w:type="continuationSeparator" w:id="0">
    <w:p w:rsidR="00A61AD9" w:rsidRDefault="00A61AD9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5200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A7CA3" w:rsidRPr="00DA7CA3" w:rsidRDefault="00DA7CA3">
        <w:pPr>
          <w:pStyle w:val="Rodap"/>
          <w:jc w:val="right"/>
          <w:rPr>
            <w:sz w:val="20"/>
            <w:szCs w:val="20"/>
          </w:rPr>
        </w:pPr>
        <w:r w:rsidRPr="00DA7CA3">
          <w:rPr>
            <w:sz w:val="20"/>
            <w:szCs w:val="20"/>
          </w:rPr>
          <w:fldChar w:fldCharType="begin"/>
        </w:r>
        <w:r w:rsidRPr="00DA7CA3">
          <w:rPr>
            <w:sz w:val="20"/>
            <w:szCs w:val="20"/>
          </w:rPr>
          <w:instrText>PAGE   \* MERGEFORMAT</w:instrText>
        </w:r>
        <w:r w:rsidRPr="00DA7CA3">
          <w:rPr>
            <w:sz w:val="20"/>
            <w:szCs w:val="20"/>
          </w:rPr>
          <w:fldChar w:fldCharType="separate"/>
        </w:r>
        <w:r w:rsidR="00447A03">
          <w:rPr>
            <w:noProof/>
            <w:sz w:val="20"/>
            <w:szCs w:val="20"/>
          </w:rPr>
          <w:t>12</w:t>
        </w:r>
        <w:r w:rsidRPr="00DA7CA3">
          <w:rPr>
            <w:sz w:val="20"/>
            <w:szCs w:val="20"/>
          </w:rPr>
          <w:fldChar w:fldCharType="end"/>
        </w:r>
      </w:p>
    </w:sdtContent>
  </w:sdt>
  <w:p w:rsidR="00DA7CA3" w:rsidRDefault="00DA7C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D9" w:rsidRDefault="00A61AD9" w:rsidP="005C34FB">
      <w:r>
        <w:separator/>
      </w:r>
    </w:p>
  </w:footnote>
  <w:footnote w:type="continuationSeparator" w:id="0">
    <w:p w:rsidR="00A61AD9" w:rsidRDefault="00A61AD9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C2" w:rsidRDefault="00BB7EC2" w:rsidP="00BB7EC2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C26095" w:rsidRDefault="00C26095" w:rsidP="00BB7EC2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82CEE4" wp14:editId="714804D9">
          <wp:simplePos x="0" y="0"/>
          <wp:positionH relativeFrom="margin">
            <wp:posOffset>2688590</wp:posOffset>
          </wp:positionH>
          <wp:positionV relativeFrom="paragraph">
            <wp:posOffset>37796</wp:posOffset>
          </wp:positionV>
          <wp:extent cx="382270" cy="301625"/>
          <wp:effectExtent l="0" t="0" r="0" b="3175"/>
          <wp:wrapNone/>
          <wp:docPr id="1" name="Imagem 1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EC2" w:rsidRDefault="00C26095" w:rsidP="00BB7EC2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BF2ED4" wp14:editId="40743037">
          <wp:simplePos x="0" y="0"/>
          <wp:positionH relativeFrom="margin">
            <wp:posOffset>7924</wp:posOffset>
          </wp:positionH>
          <wp:positionV relativeFrom="paragraph">
            <wp:posOffset>115570</wp:posOffset>
          </wp:positionV>
          <wp:extent cx="659958" cy="608449"/>
          <wp:effectExtent l="0" t="0" r="6985" b="127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8" cy="60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EC2">
      <w:rPr>
        <w:noProof/>
      </w:rPr>
      <w:drawing>
        <wp:anchor distT="0" distB="0" distL="114300" distR="114300" simplePos="0" relativeHeight="251659264" behindDoc="0" locked="0" layoutInCell="1" allowOverlap="1" wp14:anchorId="2765BE86" wp14:editId="054ADF05">
          <wp:simplePos x="0" y="0"/>
          <wp:positionH relativeFrom="column">
            <wp:posOffset>5142561</wp:posOffset>
          </wp:positionH>
          <wp:positionV relativeFrom="paragraph">
            <wp:posOffset>99060</wp:posOffset>
          </wp:positionV>
          <wp:extent cx="580445" cy="627862"/>
          <wp:effectExtent l="0" t="0" r="0" b="127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45" cy="62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EC2" w:rsidRPr="009D4E08" w:rsidRDefault="00BB7EC2" w:rsidP="00BB7EC2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9D4E08">
      <w:rPr>
        <w:lang w:val="pt-PT"/>
      </w:rPr>
      <w:t>INST</w:t>
    </w:r>
    <w:r>
      <w:rPr>
        <w:lang w:val="pt-PT"/>
      </w:rPr>
      <w:t>.</w:t>
    </w:r>
    <w:r w:rsidRPr="009D4E08">
      <w:rPr>
        <w:lang w:val="pt-PT"/>
      </w:rPr>
      <w:t xml:space="preserve"> DE PREV</w:t>
    </w:r>
    <w:r>
      <w:rPr>
        <w:lang w:val="pt-PT"/>
      </w:rPr>
      <w:t>.</w:t>
    </w:r>
    <w:r w:rsidRPr="009D4E08">
      <w:rPr>
        <w:lang w:val="pt-PT"/>
      </w:rPr>
      <w:t xml:space="preserve"> SOC</w:t>
    </w:r>
    <w:r>
      <w:rPr>
        <w:lang w:val="pt-PT"/>
      </w:rPr>
      <w:t>.</w:t>
    </w:r>
    <w:r w:rsidRPr="009D4E08">
      <w:rPr>
        <w:lang w:val="pt-PT"/>
      </w:rPr>
      <w:t xml:space="preserve"> DOS SERV</w:t>
    </w:r>
    <w:r>
      <w:rPr>
        <w:lang w:val="pt-PT"/>
      </w:rPr>
      <w:t>.</w:t>
    </w:r>
    <w:r w:rsidRPr="009D4E08">
      <w:rPr>
        <w:lang w:val="pt-PT"/>
      </w:rPr>
      <w:t xml:space="preserve"> MUN</w:t>
    </w:r>
    <w:r>
      <w:rPr>
        <w:lang w:val="pt-PT"/>
      </w:rPr>
      <w:t>.</w:t>
    </w:r>
    <w:r w:rsidRPr="009D4E08">
      <w:rPr>
        <w:lang w:val="pt-PT"/>
      </w:rPr>
      <w:t xml:space="preserve"> DE HUMA</w:t>
    </w:r>
    <w:r>
      <w:rPr>
        <w:lang w:val="pt-PT"/>
      </w:rPr>
      <w:t>I</w:t>
    </w:r>
    <w:r w:rsidRPr="009D4E08">
      <w:rPr>
        <w:lang w:val="pt-PT"/>
      </w:rPr>
      <w:t>TÁ</w:t>
    </w:r>
  </w:p>
  <w:p w:rsidR="00BB7EC2" w:rsidRPr="009D4E08" w:rsidRDefault="00BB7EC2" w:rsidP="00BB7EC2">
    <w:pPr>
      <w:pStyle w:val="Cabealho"/>
      <w:jc w:val="center"/>
      <w:rPr>
        <w:b/>
        <w:sz w:val="28"/>
        <w:szCs w:val="28"/>
        <w:lang w:val="pt-PT"/>
      </w:rPr>
    </w:pPr>
    <w:r w:rsidRPr="009D4E08">
      <w:rPr>
        <w:b/>
        <w:sz w:val="28"/>
        <w:szCs w:val="28"/>
        <w:lang w:val="pt-PT"/>
      </w:rPr>
      <w:t>HUMAIT</w:t>
    </w:r>
    <w:r>
      <w:rPr>
        <w:b/>
        <w:sz w:val="28"/>
        <w:szCs w:val="28"/>
        <w:lang w:val="pt-PT"/>
      </w:rPr>
      <w:t>A</w:t>
    </w:r>
    <w:r w:rsidRPr="009D4E08">
      <w:rPr>
        <w:b/>
        <w:sz w:val="28"/>
        <w:szCs w:val="28"/>
        <w:lang w:val="pt-PT"/>
      </w:rPr>
      <w:t>PREV</w:t>
    </w:r>
  </w:p>
  <w:p w:rsidR="00BB7EC2" w:rsidRPr="00D17D7E" w:rsidRDefault="00BB7EC2" w:rsidP="00BB7EC2">
    <w:pPr>
      <w:pStyle w:val="Cabealho"/>
      <w:jc w:val="center"/>
      <w:rPr>
        <w:lang w:val="pt-PT"/>
      </w:rPr>
    </w:pPr>
    <w:r w:rsidRPr="00D17D7E">
      <w:rPr>
        <w:b/>
        <w:lang w:val="pt-PT"/>
      </w:rPr>
      <w:t>“</w:t>
    </w:r>
    <w:r w:rsidRPr="009D4E08">
      <w:rPr>
        <w:i/>
        <w:lang w:val="pt-PT"/>
      </w:rPr>
      <w:t>DIRETORIA EXECUTIVA</w:t>
    </w:r>
    <w:r w:rsidRPr="00D17D7E">
      <w:rPr>
        <w:lang w:val="pt-PT"/>
      </w:rPr>
      <w:t>”</w:t>
    </w:r>
  </w:p>
  <w:p w:rsidR="00BB7EC2" w:rsidRPr="008B295D" w:rsidRDefault="00BB7EC2" w:rsidP="00BB7EC2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  <w:p w:rsidR="00BB7EC2" w:rsidRPr="007E57CE" w:rsidRDefault="00BB7EC2" w:rsidP="00BB7EC2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7C2"/>
    <w:multiLevelType w:val="hybridMultilevel"/>
    <w:tmpl w:val="7D2ED334"/>
    <w:lvl w:ilvl="0" w:tplc="A80A28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CF4610"/>
    <w:multiLevelType w:val="hybridMultilevel"/>
    <w:tmpl w:val="0AC6D228"/>
    <w:lvl w:ilvl="0" w:tplc="55B8CC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4577891"/>
    <w:multiLevelType w:val="hybridMultilevel"/>
    <w:tmpl w:val="4CA6E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03FB"/>
    <w:multiLevelType w:val="hybridMultilevel"/>
    <w:tmpl w:val="1E5CF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90D10"/>
    <w:multiLevelType w:val="hybridMultilevel"/>
    <w:tmpl w:val="BCA0C190"/>
    <w:lvl w:ilvl="0" w:tplc="36280332">
      <w:start w:val="1"/>
      <w:numFmt w:val="upperRoman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A0F3ABF"/>
    <w:multiLevelType w:val="hybridMultilevel"/>
    <w:tmpl w:val="7EB8D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AB273B"/>
    <w:multiLevelType w:val="hybridMultilevel"/>
    <w:tmpl w:val="5F189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B1B"/>
    <w:rsid w:val="00002EE8"/>
    <w:rsid w:val="00015AE8"/>
    <w:rsid w:val="00020EC0"/>
    <w:rsid w:val="000216F0"/>
    <w:rsid w:val="00021DC3"/>
    <w:rsid w:val="00022E43"/>
    <w:rsid w:val="00023AE6"/>
    <w:rsid w:val="00023F50"/>
    <w:rsid w:val="00023FF7"/>
    <w:rsid w:val="000245AB"/>
    <w:rsid w:val="000252B7"/>
    <w:rsid w:val="00033248"/>
    <w:rsid w:val="00033921"/>
    <w:rsid w:val="00033CEE"/>
    <w:rsid w:val="000403E8"/>
    <w:rsid w:val="00040545"/>
    <w:rsid w:val="00042EBA"/>
    <w:rsid w:val="00043C49"/>
    <w:rsid w:val="00046F21"/>
    <w:rsid w:val="0005030E"/>
    <w:rsid w:val="00051ECF"/>
    <w:rsid w:val="00052A64"/>
    <w:rsid w:val="00052D39"/>
    <w:rsid w:val="000569B1"/>
    <w:rsid w:val="0006604E"/>
    <w:rsid w:val="00066C89"/>
    <w:rsid w:val="0007085B"/>
    <w:rsid w:val="00074387"/>
    <w:rsid w:val="00074C40"/>
    <w:rsid w:val="00077014"/>
    <w:rsid w:val="00084833"/>
    <w:rsid w:val="00087A36"/>
    <w:rsid w:val="000902CE"/>
    <w:rsid w:val="00091EF2"/>
    <w:rsid w:val="000A18E5"/>
    <w:rsid w:val="000A4CFE"/>
    <w:rsid w:val="000A59DA"/>
    <w:rsid w:val="000A68D6"/>
    <w:rsid w:val="000C12A1"/>
    <w:rsid w:val="000C5DD5"/>
    <w:rsid w:val="000D1C15"/>
    <w:rsid w:val="000D32E3"/>
    <w:rsid w:val="000D4B4D"/>
    <w:rsid w:val="000E42AC"/>
    <w:rsid w:val="000E4DB5"/>
    <w:rsid w:val="000E63AE"/>
    <w:rsid w:val="000E7863"/>
    <w:rsid w:val="001020A4"/>
    <w:rsid w:val="00102F41"/>
    <w:rsid w:val="00107766"/>
    <w:rsid w:val="00107C8C"/>
    <w:rsid w:val="001116A4"/>
    <w:rsid w:val="00112A20"/>
    <w:rsid w:val="00113A97"/>
    <w:rsid w:val="001144FE"/>
    <w:rsid w:val="00115A80"/>
    <w:rsid w:val="00117E1E"/>
    <w:rsid w:val="00120C05"/>
    <w:rsid w:val="00123807"/>
    <w:rsid w:val="0012570D"/>
    <w:rsid w:val="00125FDC"/>
    <w:rsid w:val="001273E0"/>
    <w:rsid w:val="0013135F"/>
    <w:rsid w:val="00131DE9"/>
    <w:rsid w:val="00132A2D"/>
    <w:rsid w:val="00132A73"/>
    <w:rsid w:val="001369E5"/>
    <w:rsid w:val="0013798D"/>
    <w:rsid w:val="001412B2"/>
    <w:rsid w:val="00141C79"/>
    <w:rsid w:val="00142547"/>
    <w:rsid w:val="001439F2"/>
    <w:rsid w:val="00145702"/>
    <w:rsid w:val="00151C18"/>
    <w:rsid w:val="00152731"/>
    <w:rsid w:val="00157487"/>
    <w:rsid w:val="00160A95"/>
    <w:rsid w:val="00160DCD"/>
    <w:rsid w:val="0016324B"/>
    <w:rsid w:val="00165479"/>
    <w:rsid w:val="001666B5"/>
    <w:rsid w:val="00166CC2"/>
    <w:rsid w:val="0017119F"/>
    <w:rsid w:val="00171E02"/>
    <w:rsid w:val="00172D5D"/>
    <w:rsid w:val="001819EC"/>
    <w:rsid w:val="0018448E"/>
    <w:rsid w:val="00191238"/>
    <w:rsid w:val="00192876"/>
    <w:rsid w:val="0019444B"/>
    <w:rsid w:val="001A227A"/>
    <w:rsid w:val="001A247E"/>
    <w:rsid w:val="001A45FF"/>
    <w:rsid w:val="001A5663"/>
    <w:rsid w:val="001B0A0A"/>
    <w:rsid w:val="001B5385"/>
    <w:rsid w:val="001B70F7"/>
    <w:rsid w:val="001D539A"/>
    <w:rsid w:val="001E3168"/>
    <w:rsid w:val="001E5C85"/>
    <w:rsid w:val="001F0DA0"/>
    <w:rsid w:val="001F0E2E"/>
    <w:rsid w:val="001F668C"/>
    <w:rsid w:val="002025F8"/>
    <w:rsid w:val="0020623A"/>
    <w:rsid w:val="0020712F"/>
    <w:rsid w:val="0021006E"/>
    <w:rsid w:val="0021515E"/>
    <w:rsid w:val="002154D2"/>
    <w:rsid w:val="002155D7"/>
    <w:rsid w:val="00220D79"/>
    <w:rsid w:val="0022571E"/>
    <w:rsid w:val="002303FD"/>
    <w:rsid w:val="00232F69"/>
    <w:rsid w:val="00233162"/>
    <w:rsid w:val="00237CA9"/>
    <w:rsid w:val="002404F1"/>
    <w:rsid w:val="0024066A"/>
    <w:rsid w:val="0024266D"/>
    <w:rsid w:val="00252FF3"/>
    <w:rsid w:val="00254682"/>
    <w:rsid w:val="00255D90"/>
    <w:rsid w:val="00261CDA"/>
    <w:rsid w:val="002620E5"/>
    <w:rsid w:val="00262553"/>
    <w:rsid w:val="0026334B"/>
    <w:rsid w:val="00270A87"/>
    <w:rsid w:val="00272872"/>
    <w:rsid w:val="00272AA2"/>
    <w:rsid w:val="00272F15"/>
    <w:rsid w:val="00274FE8"/>
    <w:rsid w:val="002766BA"/>
    <w:rsid w:val="002779B1"/>
    <w:rsid w:val="00281869"/>
    <w:rsid w:val="002822F4"/>
    <w:rsid w:val="00282CB1"/>
    <w:rsid w:val="00283CE5"/>
    <w:rsid w:val="00285728"/>
    <w:rsid w:val="002906D5"/>
    <w:rsid w:val="00291775"/>
    <w:rsid w:val="00291F26"/>
    <w:rsid w:val="00292329"/>
    <w:rsid w:val="0029234D"/>
    <w:rsid w:val="00292DDD"/>
    <w:rsid w:val="00297A46"/>
    <w:rsid w:val="002A10B9"/>
    <w:rsid w:val="002A27D6"/>
    <w:rsid w:val="002A4361"/>
    <w:rsid w:val="002C1A7C"/>
    <w:rsid w:val="002C57D6"/>
    <w:rsid w:val="002C65A6"/>
    <w:rsid w:val="002C7457"/>
    <w:rsid w:val="002C74F8"/>
    <w:rsid w:val="002D3272"/>
    <w:rsid w:val="002D331B"/>
    <w:rsid w:val="002D653B"/>
    <w:rsid w:val="002E0169"/>
    <w:rsid w:val="002E12C4"/>
    <w:rsid w:val="002E1935"/>
    <w:rsid w:val="002E206B"/>
    <w:rsid w:val="002E58C3"/>
    <w:rsid w:val="002E688C"/>
    <w:rsid w:val="002F22F4"/>
    <w:rsid w:val="002F4DA4"/>
    <w:rsid w:val="002F62C5"/>
    <w:rsid w:val="00302218"/>
    <w:rsid w:val="00307709"/>
    <w:rsid w:val="00307D48"/>
    <w:rsid w:val="00315D77"/>
    <w:rsid w:val="00317CD3"/>
    <w:rsid w:val="00317D3B"/>
    <w:rsid w:val="003267CC"/>
    <w:rsid w:val="0034105B"/>
    <w:rsid w:val="003414E5"/>
    <w:rsid w:val="00341D0C"/>
    <w:rsid w:val="003428D4"/>
    <w:rsid w:val="00343A4D"/>
    <w:rsid w:val="00344210"/>
    <w:rsid w:val="003444DE"/>
    <w:rsid w:val="00347FE2"/>
    <w:rsid w:val="00355A96"/>
    <w:rsid w:val="00362043"/>
    <w:rsid w:val="00363340"/>
    <w:rsid w:val="00365FD4"/>
    <w:rsid w:val="003661F9"/>
    <w:rsid w:val="0037245D"/>
    <w:rsid w:val="00373D57"/>
    <w:rsid w:val="00375E09"/>
    <w:rsid w:val="00382648"/>
    <w:rsid w:val="00383444"/>
    <w:rsid w:val="00385F37"/>
    <w:rsid w:val="00392313"/>
    <w:rsid w:val="00396E4E"/>
    <w:rsid w:val="00397C9A"/>
    <w:rsid w:val="00397D09"/>
    <w:rsid w:val="003A3490"/>
    <w:rsid w:val="003A5F54"/>
    <w:rsid w:val="003B0E73"/>
    <w:rsid w:val="003B2F0F"/>
    <w:rsid w:val="003B7E86"/>
    <w:rsid w:val="003C32EF"/>
    <w:rsid w:val="003C3A2A"/>
    <w:rsid w:val="003C4484"/>
    <w:rsid w:val="003C6036"/>
    <w:rsid w:val="003C6D9E"/>
    <w:rsid w:val="003D017C"/>
    <w:rsid w:val="003D6B99"/>
    <w:rsid w:val="003E3068"/>
    <w:rsid w:val="003E5248"/>
    <w:rsid w:val="003E6A7E"/>
    <w:rsid w:val="003E74E7"/>
    <w:rsid w:val="003F2B8B"/>
    <w:rsid w:val="003F3374"/>
    <w:rsid w:val="004006D4"/>
    <w:rsid w:val="004032BA"/>
    <w:rsid w:val="00404733"/>
    <w:rsid w:val="00416A02"/>
    <w:rsid w:val="00422EF1"/>
    <w:rsid w:val="004254D5"/>
    <w:rsid w:val="004323FB"/>
    <w:rsid w:val="004330CF"/>
    <w:rsid w:val="00436A43"/>
    <w:rsid w:val="00440CC7"/>
    <w:rsid w:val="00447A03"/>
    <w:rsid w:val="00450B8D"/>
    <w:rsid w:val="0045157E"/>
    <w:rsid w:val="00454945"/>
    <w:rsid w:val="0045549C"/>
    <w:rsid w:val="00457A3C"/>
    <w:rsid w:val="004618D8"/>
    <w:rsid w:val="0046336E"/>
    <w:rsid w:val="00463E2D"/>
    <w:rsid w:val="00467063"/>
    <w:rsid w:val="00470684"/>
    <w:rsid w:val="00471CB6"/>
    <w:rsid w:val="0047231D"/>
    <w:rsid w:val="004735CA"/>
    <w:rsid w:val="00486B01"/>
    <w:rsid w:val="0049211F"/>
    <w:rsid w:val="00492280"/>
    <w:rsid w:val="00495D5F"/>
    <w:rsid w:val="004A0FB6"/>
    <w:rsid w:val="004A2161"/>
    <w:rsid w:val="004A5F57"/>
    <w:rsid w:val="004A65E4"/>
    <w:rsid w:val="004A75AE"/>
    <w:rsid w:val="004B4ACF"/>
    <w:rsid w:val="004C007B"/>
    <w:rsid w:val="004C3B48"/>
    <w:rsid w:val="004C5175"/>
    <w:rsid w:val="004C6C62"/>
    <w:rsid w:val="004C79CE"/>
    <w:rsid w:val="004D0BF1"/>
    <w:rsid w:val="004D2272"/>
    <w:rsid w:val="004D2D8A"/>
    <w:rsid w:val="004D34A2"/>
    <w:rsid w:val="004D6660"/>
    <w:rsid w:val="004E273C"/>
    <w:rsid w:val="004E43C5"/>
    <w:rsid w:val="004E45F4"/>
    <w:rsid w:val="004E5446"/>
    <w:rsid w:val="004E6888"/>
    <w:rsid w:val="004E74F7"/>
    <w:rsid w:val="004F2361"/>
    <w:rsid w:val="004F2709"/>
    <w:rsid w:val="004F7945"/>
    <w:rsid w:val="004F7A58"/>
    <w:rsid w:val="00500630"/>
    <w:rsid w:val="00501A06"/>
    <w:rsid w:val="00506FDF"/>
    <w:rsid w:val="005073A1"/>
    <w:rsid w:val="005076F6"/>
    <w:rsid w:val="00507926"/>
    <w:rsid w:val="0051254A"/>
    <w:rsid w:val="005128C6"/>
    <w:rsid w:val="0051402F"/>
    <w:rsid w:val="005156C1"/>
    <w:rsid w:val="005210A7"/>
    <w:rsid w:val="00521787"/>
    <w:rsid w:val="00526E52"/>
    <w:rsid w:val="005270BD"/>
    <w:rsid w:val="005304AE"/>
    <w:rsid w:val="00540B70"/>
    <w:rsid w:val="00541AB5"/>
    <w:rsid w:val="005435E9"/>
    <w:rsid w:val="00544E47"/>
    <w:rsid w:val="00545996"/>
    <w:rsid w:val="0054628E"/>
    <w:rsid w:val="00551C22"/>
    <w:rsid w:val="00555C28"/>
    <w:rsid w:val="005565AA"/>
    <w:rsid w:val="00562D38"/>
    <w:rsid w:val="005669BB"/>
    <w:rsid w:val="005752F7"/>
    <w:rsid w:val="005759F5"/>
    <w:rsid w:val="00576B32"/>
    <w:rsid w:val="00581400"/>
    <w:rsid w:val="00582DC4"/>
    <w:rsid w:val="00584D1D"/>
    <w:rsid w:val="00590403"/>
    <w:rsid w:val="00591977"/>
    <w:rsid w:val="0059220E"/>
    <w:rsid w:val="005924FE"/>
    <w:rsid w:val="0059357D"/>
    <w:rsid w:val="0059507A"/>
    <w:rsid w:val="005A064D"/>
    <w:rsid w:val="005A162B"/>
    <w:rsid w:val="005A26C3"/>
    <w:rsid w:val="005A3C87"/>
    <w:rsid w:val="005A4A5E"/>
    <w:rsid w:val="005B05F1"/>
    <w:rsid w:val="005B0855"/>
    <w:rsid w:val="005B2041"/>
    <w:rsid w:val="005B2E61"/>
    <w:rsid w:val="005B48DB"/>
    <w:rsid w:val="005B56E8"/>
    <w:rsid w:val="005B5ADA"/>
    <w:rsid w:val="005B7893"/>
    <w:rsid w:val="005C34FB"/>
    <w:rsid w:val="005C67B9"/>
    <w:rsid w:val="005C741A"/>
    <w:rsid w:val="005D6D25"/>
    <w:rsid w:val="005D771B"/>
    <w:rsid w:val="005E2BE8"/>
    <w:rsid w:val="005E2EDC"/>
    <w:rsid w:val="005E45D2"/>
    <w:rsid w:val="005E623B"/>
    <w:rsid w:val="005F135C"/>
    <w:rsid w:val="005F270D"/>
    <w:rsid w:val="006006FA"/>
    <w:rsid w:val="00602876"/>
    <w:rsid w:val="00603270"/>
    <w:rsid w:val="00610540"/>
    <w:rsid w:val="0061080E"/>
    <w:rsid w:val="00614A00"/>
    <w:rsid w:val="00616A6A"/>
    <w:rsid w:val="00616C79"/>
    <w:rsid w:val="006206CE"/>
    <w:rsid w:val="0062286E"/>
    <w:rsid w:val="00623213"/>
    <w:rsid w:val="0062453C"/>
    <w:rsid w:val="00624EF3"/>
    <w:rsid w:val="00626A93"/>
    <w:rsid w:val="00627744"/>
    <w:rsid w:val="0063004B"/>
    <w:rsid w:val="0063375C"/>
    <w:rsid w:val="00635319"/>
    <w:rsid w:val="00637C6C"/>
    <w:rsid w:val="00637E39"/>
    <w:rsid w:val="00652B85"/>
    <w:rsid w:val="00653202"/>
    <w:rsid w:val="00656161"/>
    <w:rsid w:val="00664BDE"/>
    <w:rsid w:val="00664D5A"/>
    <w:rsid w:val="006700BF"/>
    <w:rsid w:val="0067112D"/>
    <w:rsid w:val="00672468"/>
    <w:rsid w:val="00673C6F"/>
    <w:rsid w:val="0068061E"/>
    <w:rsid w:val="00681178"/>
    <w:rsid w:val="00685A34"/>
    <w:rsid w:val="0068642D"/>
    <w:rsid w:val="006871DE"/>
    <w:rsid w:val="00687225"/>
    <w:rsid w:val="00692096"/>
    <w:rsid w:val="006951E9"/>
    <w:rsid w:val="0069665C"/>
    <w:rsid w:val="006A2478"/>
    <w:rsid w:val="006A30AE"/>
    <w:rsid w:val="006A3E40"/>
    <w:rsid w:val="006A7A6E"/>
    <w:rsid w:val="006B387F"/>
    <w:rsid w:val="006B4294"/>
    <w:rsid w:val="006C05E0"/>
    <w:rsid w:val="006C08AE"/>
    <w:rsid w:val="006C2F08"/>
    <w:rsid w:val="006D1846"/>
    <w:rsid w:val="006D5E5F"/>
    <w:rsid w:val="006D6FA7"/>
    <w:rsid w:val="006E02D1"/>
    <w:rsid w:val="006E0767"/>
    <w:rsid w:val="006E1898"/>
    <w:rsid w:val="006E5CBD"/>
    <w:rsid w:val="006E65A1"/>
    <w:rsid w:val="006F0FDB"/>
    <w:rsid w:val="006F1860"/>
    <w:rsid w:val="006F4082"/>
    <w:rsid w:val="006F4366"/>
    <w:rsid w:val="00700502"/>
    <w:rsid w:val="0070191F"/>
    <w:rsid w:val="00702E39"/>
    <w:rsid w:val="00703101"/>
    <w:rsid w:val="007032B2"/>
    <w:rsid w:val="00712521"/>
    <w:rsid w:val="0071673D"/>
    <w:rsid w:val="007221AF"/>
    <w:rsid w:val="007221EB"/>
    <w:rsid w:val="0072263D"/>
    <w:rsid w:val="00724228"/>
    <w:rsid w:val="00724393"/>
    <w:rsid w:val="0072482C"/>
    <w:rsid w:val="00730A4F"/>
    <w:rsid w:val="00735DF0"/>
    <w:rsid w:val="007408DC"/>
    <w:rsid w:val="007430F4"/>
    <w:rsid w:val="007449B9"/>
    <w:rsid w:val="0075174E"/>
    <w:rsid w:val="007518AC"/>
    <w:rsid w:val="00752988"/>
    <w:rsid w:val="00753A03"/>
    <w:rsid w:val="00755AC8"/>
    <w:rsid w:val="00761310"/>
    <w:rsid w:val="0076703D"/>
    <w:rsid w:val="00767ED4"/>
    <w:rsid w:val="007704B6"/>
    <w:rsid w:val="0077261A"/>
    <w:rsid w:val="00776CA0"/>
    <w:rsid w:val="007830D4"/>
    <w:rsid w:val="007855D6"/>
    <w:rsid w:val="00787736"/>
    <w:rsid w:val="00787DBC"/>
    <w:rsid w:val="00790F0F"/>
    <w:rsid w:val="00797568"/>
    <w:rsid w:val="007A1975"/>
    <w:rsid w:val="007A2A07"/>
    <w:rsid w:val="007A3083"/>
    <w:rsid w:val="007A54F0"/>
    <w:rsid w:val="007A71A0"/>
    <w:rsid w:val="007B1F10"/>
    <w:rsid w:val="007B6749"/>
    <w:rsid w:val="007B78B7"/>
    <w:rsid w:val="007B7A9C"/>
    <w:rsid w:val="007C1133"/>
    <w:rsid w:val="007C3212"/>
    <w:rsid w:val="007C51D9"/>
    <w:rsid w:val="007C73B5"/>
    <w:rsid w:val="007C7ECC"/>
    <w:rsid w:val="007D15AF"/>
    <w:rsid w:val="007D287F"/>
    <w:rsid w:val="007D2DDA"/>
    <w:rsid w:val="007D4F18"/>
    <w:rsid w:val="007D604B"/>
    <w:rsid w:val="007E216C"/>
    <w:rsid w:val="007F3ADF"/>
    <w:rsid w:val="007F5853"/>
    <w:rsid w:val="007F5B8B"/>
    <w:rsid w:val="007F6444"/>
    <w:rsid w:val="007F7551"/>
    <w:rsid w:val="008037BD"/>
    <w:rsid w:val="008037FD"/>
    <w:rsid w:val="008108A6"/>
    <w:rsid w:val="008112DB"/>
    <w:rsid w:val="008130AA"/>
    <w:rsid w:val="008146F1"/>
    <w:rsid w:val="00815915"/>
    <w:rsid w:val="00815BD1"/>
    <w:rsid w:val="00825696"/>
    <w:rsid w:val="00826FF6"/>
    <w:rsid w:val="008274CC"/>
    <w:rsid w:val="00842838"/>
    <w:rsid w:val="00842F2A"/>
    <w:rsid w:val="00844292"/>
    <w:rsid w:val="00852F69"/>
    <w:rsid w:val="0085455A"/>
    <w:rsid w:val="008567FF"/>
    <w:rsid w:val="00871A68"/>
    <w:rsid w:val="0087213E"/>
    <w:rsid w:val="008724C9"/>
    <w:rsid w:val="00873C84"/>
    <w:rsid w:val="00876C10"/>
    <w:rsid w:val="00876EED"/>
    <w:rsid w:val="00881E01"/>
    <w:rsid w:val="008822E4"/>
    <w:rsid w:val="008869A5"/>
    <w:rsid w:val="0089072E"/>
    <w:rsid w:val="008911D8"/>
    <w:rsid w:val="00893F47"/>
    <w:rsid w:val="0089562A"/>
    <w:rsid w:val="008A3332"/>
    <w:rsid w:val="008A460D"/>
    <w:rsid w:val="008B019D"/>
    <w:rsid w:val="008B2B41"/>
    <w:rsid w:val="008B5C40"/>
    <w:rsid w:val="008B6E5A"/>
    <w:rsid w:val="008C198C"/>
    <w:rsid w:val="008C5FE0"/>
    <w:rsid w:val="008D3035"/>
    <w:rsid w:val="008D3B0E"/>
    <w:rsid w:val="008D6034"/>
    <w:rsid w:val="008D7521"/>
    <w:rsid w:val="008E5932"/>
    <w:rsid w:val="008F03B9"/>
    <w:rsid w:val="008F0FFD"/>
    <w:rsid w:val="008F33C2"/>
    <w:rsid w:val="008F46DF"/>
    <w:rsid w:val="008F60AD"/>
    <w:rsid w:val="0090034F"/>
    <w:rsid w:val="009004F5"/>
    <w:rsid w:val="00900E43"/>
    <w:rsid w:val="00901864"/>
    <w:rsid w:val="00902897"/>
    <w:rsid w:val="00902CA5"/>
    <w:rsid w:val="00903963"/>
    <w:rsid w:val="009039BD"/>
    <w:rsid w:val="00903EF3"/>
    <w:rsid w:val="009045A1"/>
    <w:rsid w:val="0090624A"/>
    <w:rsid w:val="0090657D"/>
    <w:rsid w:val="00910C22"/>
    <w:rsid w:val="009120C1"/>
    <w:rsid w:val="00914831"/>
    <w:rsid w:val="00914D19"/>
    <w:rsid w:val="00915BBE"/>
    <w:rsid w:val="009169A0"/>
    <w:rsid w:val="009172F6"/>
    <w:rsid w:val="009174B3"/>
    <w:rsid w:val="00920B7A"/>
    <w:rsid w:val="00920FC8"/>
    <w:rsid w:val="009228CC"/>
    <w:rsid w:val="009242DE"/>
    <w:rsid w:val="00924975"/>
    <w:rsid w:val="00925474"/>
    <w:rsid w:val="00931501"/>
    <w:rsid w:val="009320CA"/>
    <w:rsid w:val="0093318D"/>
    <w:rsid w:val="009338EB"/>
    <w:rsid w:val="0093430F"/>
    <w:rsid w:val="00934BC3"/>
    <w:rsid w:val="0093649F"/>
    <w:rsid w:val="00950E56"/>
    <w:rsid w:val="00950F21"/>
    <w:rsid w:val="00951628"/>
    <w:rsid w:val="00951B97"/>
    <w:rsid w:val="0095316C"/>
    <w:rsid w:val="009532B2"/>
    <w:rsid w:val="00964864"/>
    <w:rsid w:val="0096686A"/>
    <w:rsid w:val="00967D02"/>
    <w:rsid w:val="0097025D"/>
    <w:rsid w:val="00971F65"/>
    <w:rsid w:val="00974C6A"/>
    <w:rsid w:val="00975F56"/>
    <w:rsid w:val="0097720D"/>
    <w:rsid w:val="0098739C"/>
    <w:rsid w:val="0099382B"/>
    <w:rsid w:val="009A05CC"/>
    <w:rsid w:val="009A1D96"/>
    <w:rsid w:val="009A3ACA"/>
    <w:rsid w:val="009A6768"/>
    <w:rsid w:val="009B3217"/>
    <w:rsid w:val="009B5C9A"/>
    <w:rsid w:val="009C21F9"/>
    <w:rsid w:val="009D081D"/>
    <w:rsid w:val="009D3604"/>
    <w:rsid w:val="009D4EFA"/>
    <w:rsid w:val="009E41F5"/>
    <w:rsid w:val="009E49C9"/>
    <w:rsid w:val="009E73C4"/>
    <w:rsid w:val="009F0578"/>
    <w:rsid w:val="009F1824"/>
    <w:rsid w:val="009F2D90"/>
    <w:rsid w:val="009F354A"/>
    <w:rsid w:val="009F38A0"/>
    <w:rsid w:val="009F4FCA"/>
    <w:rsid w:val="009F59A4"/>
    <w:rsid w:val="009F61D5"/>
    <w:rsid w:val="00A016D9"/>
    <w:rsid w:val="00A02B93"/>
    <w:rsid w:val="00A06B68"/>
    <w:rsid w:val="00A10CC4"/>
    <w:rsid w:val="00A12AA8"/>
    <w:rsid w:val="00A159B8"/>
    <w:rsid w:val="00A23E29"/>
    <w:rsid w:val="00A30D3C"/>
    <w:rsid w:val="00A30D65"/>
    <w:rsid w:val="00A329A8"/>
    <w:rsid w:val="00A3422C"/>
    <w:rsid w:val="00A364F0"/>
    <w:rsid w:val="00A37F9B"/>
    <w:rsid w:val="00A41185"/>
    <w:rsid w:val="00A45A2C"/>
    <w:rsid w:val="00A47191"/>
    <w:rsid w:val="00A56468"/>
    <w:rsid w:val="00A60243"/>
    <w:rsid w:val="00A61AD9"/>
    <w:rsid w:val="00A62C1F"/>
    <w:rsid w:val="00A66766"/>
    <w:rsid w:val="00A723BA"/>
    <w:rsid w:val="00A72719"/>
    <w:rsid w:val="00A75BCF"/>
    <w:rsid w:val="00A762EE"/>
    <w:rsid w:val="00A84AD5"/>
    <w:rsid w:val="00A85C8E"/>
    <w:rsid w:val="00A85E5C"/>
    <w:rsid w:val="00A90940"/>
    <w:rsid w:val="00A931A9"/>
    <w:rsid w:val="00A94E65"/>
    <w:rsid w:val="00A9728C"/>
    <w:rsid w:val="00A9782C"/>
    <w:rsid w:val="00AA081C"/>
    <w:rsid w:val="00AA197F"/>
    <w:rsid w:val="00AA1B5E"/>
    <w:rsid w:val="00AA3016"/>
    <w:rsid w:val="00AA3791"/>
    <w:rsid w:val="00AB14CA"/>
    <w:rsid w:val="00AB238E"/>
    <w:rsid w:val="00AB7698"/>
    <w:rsid w:val="00AC2988"/>
    <w:rsid w:val="00AC3982"/>
    <w:rsid w:val="00AC4536"/>
    <w:rsid w:val="00AC7006"/>
    <w:rsid w:val="00AD09C6"/>
    <w:rsid w:val="00AD2EDA"/>
    <w:rsid w:val="00AD4743"/>
    <w:rsid w:val="00AE0CBE"/>
    <w:rsid w:val="00AE1A16"/>
    <w:rsid w:val="00AE5DE8"/>
    <w:rsid w:val="00AE6465"/>
    <w:rsid w:val="00AE6979"/>
    <w:rsid w:val="00AE7B68"/>
    <w:rsid w:val="00AF1C6C"/>
    <w:rsid w:val="00AF334F"/>
    <w:rsid w:val="00AF3C26"/>
    <w:rsid w:val="00AF731D"/>
    <w:rsid w:val="00AF7763"/>
    <w:rsid w:val="00AF7EF7"/>
    <w:rsid w:val="00B023BF"/>
    <w:rsid w:val="00B03AAF"/>
    <w:rsid w:val="00B0722E"/>
    <w:rsid w:val="00B109D5"/>
    <w:rsid w:val="00B10FDB"/>
    <w:rsid w:val="00B17F63"/>
    <w:rsid w:val="00B24FFE"/>
    <w:rsid w:val="00B253CF"/>
    <w:rsid w:val="00B33526"/>
    <w:rsid w:val="00B369EA"/>
    <w:rsid w:val="00B37188"/>
    <w:rsid w:val="00B37202"/>
    <w:rsid w:val="00B40106"/>
    <w:rsid w:val="00B42E80"/>
    <w:rsid w:val="00B43BB7"/>
    <w:rsid w:val="00B441AF"/>
    <w:rsid w:val="00B449A2"/>
    <w:rsid w:val="00B45F75"/>
    <w:rsid w:val="00B4616B"/>
    <w:rsid w:val="00B474AA"/>
    <w:rsid w:val="00B52779"/>
    <w:rsid w:val="00B53AE5"/>
    <w:rsid w:val="00B63548"/>
    <w:rsid w:val="00B661A0"/>
    <w:rsid w:val="00B6637B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1036"/>
    <w:rsid w:val="00B926B1"/>
    <w:rsid w:val="00BA18B1"/>
    <w:rsid w:val="00BA412D"/>
    <w:rsid w:val="00BA4768"/>
    <w:rsid w:val="00BA5661"/>
    <w:rsid w:val="00BB2B4E"/>
    <w:rsid w:val="00BB3B68"/>
    <w:rsid w:val="00BB64FE"/>
    <w:rsid w:val="00BB7EC2"/>
    <w:rsid w:val="00BC6D39"/>
    <w:rsid w:val="00BD3371"/>
    <w:rsid w:val="00BD4304"/>
    <w:rsid w:val="00BD52C4"/>
    <w:rsid w:val="00BD7E3B"/>
    <w:rsid w:val="00BE00A1"/>
    <w:rsid w:val="00BF2761"/>
    <w:rsid w:val="00BF3E24"/>
    <w:rsid w:val="00BF5E6E"/>
    <w:rsid w:val="00C000F2"/>
    <w:rsid w:val="00C01F89"/>
    <w:rsid w:val="00C06557"/>
    <w:rsid w:val="00C077B5"/>
    <w:rsid w:val="00C10E41"/>
    <w:rsid w:val="00C133E7"/>
    <w:rsid w:val="00C144D2"/>
    <w:rsid w:val="00C2026B"/>
    <w:rsid w:val="00C20881"/>
    <w:rsid w:val="00C20ADC"/>
    <w:rsid w:val="00C21DAD"/>
    <w:rsid w:val="00C26095"/>
    <w:rsid w:val="00C3161E"/>
    <w:rsid w:val="00C34DA1"/>
    <w:rsid w:val="00C42075"/>
    <w:rsid w:val="00C42E26"/>
    <w:rsid w:val="00C43A7F"/>
    <w:rsid w:val="00C5360E"/>
    <w:rsid w:val="00C562FF"/>
    <w:rsid w:val="00C56A4D"/>
    <w:rsid w:val="00C578FE"/>
    <w:rsid w:val="00C6451D"/>
    <w:rsid w:val="00C64BCE"/>
    <w:rsid w:val="00C657EA"/>
    <w:rsid w:val="00C71B85"/>
    <w:rsid w:val="00C74CCB"/>
    <w:rsid w:val="00C81428"/>
    <w:rsid w:val="00C846D6"/>
    <w:rsid w:val="00C85E28"/>
    <w:rsid w:val="00C8691B"/>
    <w:rsid w:val="00C9252A"/>
    <w:rsid w:val="00C93630"/>
    <w:rsid w:val="00C9556E"/>
    <w:rsid w:val="00C95B41"/>
    <w:rsid w:val="00C96CEA"/>
    <w:rsid w:val="00CA05A6"/>
    <w:rsid w:val="00CA487B"/>
    <w:rsid w:val="00CA6B66"/>
    <w:rsid w:val="00CA7EAA"/>
    <w:rsid w:val="00CB1BEC"/>
    <w:rsid w:val="00CB3DA1"/>
    <w:rsid w:val="00CC1E0B"/>
    <w:rsid w:val="00CC1E5F"/>
    <w:rsid w:val="00CC1F98"/>
    <w:rsid w:val="00CD7AA2"/>
    <w:rsid w:val="00CE0C9C"/>
    <w:rsid w:val="00CE1CAB"/>
    <w:rsid w:val="00CE6D6B"/>
    <w:rsid w:val="00CF11ED"/>
    <w:rsid w:val="00CF29F4"/>
    <w:rsid w:val="00CF3170"/>
    <w:rsid w:val="00CF3639"/>
    <w:rsid w:val="00CF3D98"/>
    <w:rsid w:val="00CF47B3"/>
    <w:rsid w:val="00CF5067"/>
    <w:rsid w:val="00CF5568"/>
    <w:rsid w:val="00D0151F"/>
    <w:rsid w:val="00D031F9"/>
    <w:rsid w:val="00D045E1"/>
    <w:rsid w:val="00D11CEA"/>
    <w:rsid w:val="00D20CF0"/>
    <w:rsid w:val="00D22C34"/>
    <w:rsid w:val="00D33A0E"/>
    <w:rsid w:val="00D36DA1"/>
    <w:rsid w:val="00D42938"/>
    <w:rsid w:val="00D43A9C"/>
    <w:rsid w:val="00D44A11"/>
    <w:rsid w:val="00D45922"/>
    <w:rsid w:val="00D52EC8"/>
    <w:rsid w:val="00D55065"/>
    <w:rsid w:val="00D55F30"/>
    <w:rsid w:val="00D622EB"/>
    <w:rsid w:val="00D62AB3"/>
    <w:rsid w:val="00D63920"/>
    <w:rsid w:val="00D6672E"/>
    <w:rsid w:val="00D67739"/>
    <w:rsid w:val="00D67A01"/>
    <w:rsid w:val="00D863FC"/>
    <w:rsid w:val="00D93A89"/>
    <w:rsid w:val="00D94551"/>
    <w:rsid w:val="00DA41D0"/>
    <w:rsid w:val="00DA597E"/>
    <w:rsid w:val="00DA7CA3"/>
    <w:rsid w:val="00DB33DC"/>
    <w:rsid w:val="00DB4940"/>
    <w:rsid w:val="00DC2060"/>
    <w:rsid w:val="00DC6046"/>
    <w:rsid w:val="00DD698A"/>
    <w:rsid w:val="00DF0310"/>
    <w:rsid w:val="00DF20CF"/>
    <w:rsid w:val="00E01B45"/>
    <w:rsid w:val="00E03F17"/>
    <w:rsid w:val="00E046D4"/>
    <w:rsid w:val="00E04D39"/>
    <w:rsid w:val="00E04EB5"/>
    <w:rsid w:val="00E10BCB"/>
    <w:rsid w:val="00E139C1"/>
    <w:rsid w:val="00E17D17"/>
    <w:rsid w:val="00E241E3"/>
    <w:rsid w:val="00E30859"/>
    <w:rsid w:val="00E33343"/>
    <w:rsid w:val="00E33949"/>
    <w:rsid w:val="00E351D3"/>
    <w:rsid w:val="00E3711A"/>
    <w:rsid w:val="00E37712"/>
    <w:rsid w:val="00E37AE0"/>
    <w:rsid w:val="00E40F78"/>
    <w:rsid w:val="00E43562"/>
    <w:rsid w:val="00E43D22"/>
    <w:rsid w:val="00E44F72"/>
    <w:rsid w:val="00E4738B"/>
    <w:rsid w:val="00E508CB"/>
    <w:rsid w:val="00E5132D"/>
    <w:rsid w:val="00E52CFE"/>
    <w:rsid w:val="00E5494B"/>
    <w:rsid w:val="00E551F6"/>
    <w:rsid w:val="00E55ABD"/>
    <w:rsid w:val="00E61FA1"/>
    <w:rsid w:val="00E65B0E"/>
    <w:rsid w:val="00E66C9B"/>
    <w:rsid w:val="00E6726B"/>
    <w:rsid w:val="00E71CC5"/>
    <w:rsid w:val="00E723AB"/>
    <w:rsid w:val="00E73C32"/>
    <w:rsid w:val="00E746F9"/>
    <w:rsid w:val="00E75439"/>
    <w:rsid w:val="00E85418"/>
    <w:rsid w:val="00E955C7"/>
    <w:rsid w:val="00E978E1"/>
    <w:rsid w:val="00EA7274"/>
    <w:rsid w:val="00EB1F92"/>
    <w:rsid w:val="00EB3919"/>
    <w:rsid w:val="00EB6A4C"/>
    <w:rsid w:val="00EC261E"/>
    <w:rsid w:val="00EE342A"/>
    <w:rsid w:val="00EF2547"/>
    <w:rsid w:val="00EF316C"/>
    <w:rsid w:val="00EF38DD"/>
    <w:rsid w:val="00EF3C78"/>
    <w:rsid w:val="00EF6BF5"/>
    <w:rsid w:val="00EF749F"/>
    <w:rsid w:val="00F0043B"/>
    <w:rsid w:val="00F018EA"/>
    <w:rsid w:val="00F026F6"/>
    <w:rsid w:val="00F028D9"/>
    <w:rsid w:val="00F10180"/>
    <w:rsid w:val="00F139D8"/>
    <w:rsid w:val="00F174E9"/>
    <w:rsid w:val="00F22ED9"/>
    <w:rsid w:val="00F24A39"/>
    <w:rsid w:val="00F25FC9"/>
    <w:rsid w:val="00F265C3"/>
    <w:rsid w:val="00F302BD"/>
    <w:rsid w:val="00F362C8"/>
    <w:rsid w:val="00F42AFA"/>
    <w:rsid w:val="00F47482"/>
    <w:rsid w:val="00F54DC1"/>
    <w:rsid w:val="00F554B5"/>
    <w:rsid w:val="00F57A86"/>
    <w:rsid w:val="00F6379B"/>
    <w:rsid w:val="00F644B5"/>
    <w:rsid w:val="00F66DC6"/>
    <w:rsid w:val="00F70D7B"/>
    <w:rsid w:val="00F71380"/>
    <w:rsid w:val="00F739CA"/>
    <w:rsid w:val="00F741B5"/>
    <w:rsid w:val="00F75114"/>
    <w:rsid w:val="00F76C9A"/>
    <w:rsid w:val="00F90DE8"/>
    <w:rsid w:val="00F946B7"/>
    <w:rsid w:val="00F961F9"/>
    <w:rsid w:val="00F964BF"/>
    <w:rsid w:val="00FA29D2"/>
    <w:rsid w:val="00FA6BD9"/>
    <w:rsid w:val="00FA71BC"/>
    <w:rsid w:val="00FB075E"/>
    <w:rsid w:val="00FB1836"/>
    <w:rsid w:val="00FB2E0C"/>
    <w:rsid w:val="00FB51BF"/>
    <w:rsid w:val="00FC0918"/>
    <w:rsid w:val="00FC21DD"/>
    <w:rsid w:val="00FC5711"/>
    <w:rsid w:val="00FC760E"/>
    <w:rsid w:val="00FC7FED"/>
    <w:rsid w:val="00FD0A98"/>
    <w:rsid w:val="00FD151B"/>
    <w:rsid w:val="00FD1DBB"/>
    <w:rsid w:val="00FD2D70"/>
    <w:rsid w:val="00FD3BF4"/>
    <w:rsid w:val="00FD462E"/>
    <w:rsid w:val="00FD4A5A"/>
    <w:rsid w:val="00FE508A"/>
    <w:rsid w:val="00FE54C1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3E4C5"/>
  <w15:docId w15:val="{0E76D761-6A45-4B61-B663-78E4799F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paragraph" w:styleId="Corpodetexto">
    <w:name w:val="Body Text"/>
    <w:basedOn w:val="Normal"/>
    <w:link w:val="CorpodetextoChar"/>
    <w:semiHidden/>
    <w:unhideWhenUsed/>
    <w:rsid w:val="00E551F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551F6"/>
    <w:rPr>
      <w:sz w:val="24"/>
      <w:szCs w:val="24"/>
    </w:rPr>
  </w:style>
  <w:style w:type="character" w:styleId="Hyperlink">
    <w:name w:val="Hyperlink"/>
    <w:basedOn w:val="Fontepargpadro"/>
    <w:unhideWhenUsed/>
    <w:rsid w:val="00842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9EB-574D-4541-A2A6-9B59F0BF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3235</Words>
  <Characters>17474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Click</cp:lastModifiedBy>
  <cp:revision>25</cp:revision>
  <cp:lastPrinted>2017-07-20T12:50:00Z</cp:lastPrinted>
  <dcterms:created xsi:type="dcterms:W3CDTF">2017-07-13T13:35:00Z</dcterms:created>
  <dcterms:modified xsi:type="dcterms:W3CDTF">2017-07-20T13:02:00Z</dcterms:modified>
</cp:coreProperties>
</file>